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A96" w:rsidRPr="00FA63B9" w:rsidRDefault="00597FF8" w:rsidP="00657A96">
      <w:pPr>
        <w:jc w:val="center"/>
        <w:rPr>
          <w:rFonts w:ascii="Verdana" w:hAnsi="Verdana" w:cstheme="minorHAnsi"/>
          <w:b/>
          <w:sz w:val="28"/>
          <w:szCs w:val="28"/>
        </w:rPr>
      </w:pPr>
      <w:proofErr w:type="spellStart"/>
      <w:r w:rsidRPr="00FA63B9">
        <w:rPr>
          <w:rFonts w:ascii="Verdana" w:hAnsi="Verdana" w:cstheme="minorHAnsi"/>
          <w:b/>
          <w:sz w:val="28"/>
          <w:szCs w:val="28"/>
        </w:rPr>
        <w:t>Donà</w:t>
      </w:r>
      <w:proofErr w:type="spellEnd"/>
      <w:r w:rsidR="00657A96" w:rsidRPr="00FA63B9">
        <w:rPr>
          <w:rFonts w:ascii="Verdana" w:hAnsi="Verdana" w:cstheme="minorHAnsi"/>
          <w:b/>
          <w:sz w:val="28"/>
          <w:szCs w:val="28"/>
        </w:rPr>
        <w:t xml:space="preserve"> v </w:t>
      </w:r>
      <w:proofErr w:type="spellStart"/>
      <w:r w:rsidR="00657A96" w:rsidRPr="00FA63B9">
        <w:rPr>
          <w:rFonts w:ascii="Verdana" w:hAnsi="Verdana" w:cstheme="minorHAnsi"/>
          <w:b/>
          <w:sz w:val="28"/>
          <w:szCs w:val="28"/>
        </w:rPr>
        <w:t>Mantero</w:t>
      </w:r>
      <w:proofErr w:type="spellEnd"/>
      <w:r w:rsidR="00657A96" w:rsidRPr="00FA63B9">
        <w:rPr>
          <w:rFonts w:ascii="Verdana" w:hAnsi="Verdana" w:cstheme="minorHAnsi"/>
          <w:b/>
          <w:sz w:val="28"/>
          <w:szCs w:val="28"/>
        </w:rPr>
        <w:t xml:space="preserve"> Case 13/76 </w:t>
      </w:r>
    </w:p>
    <w:p w:rsidR="00657A96" w:rsidRDefault="00657A96" w:rsidP="004C4736">
      <w:pPr>
        <w:jc w:val="both"/>
        <w:rPr>
          <w:rFonts w:ascii="Arial Narrow" w:hAnsi="Arial Narrow" w:cstheme="minorHAnsi"/>
          <w:b/>
          <w:sz w:val="24"/>
          <w:szCs w:val="24"/>
        </w:rPr>
      </w:pPr>
    </w:p>
    <w:p w:rsidR="00070B40" w:rsidRPr="00597FF8" w:rsidRDefault="00597FF8" w:rsidP="004C4736">
      <w:pPr>
        <w:jc w:val="both"/>
        <w:rPr>
          <w:rFonts w:ascii="Verdana" w:hAnsi="Verdana" w:cstheme="minorHAnsi"/>
          <w:b/>
        </w:rPr>
      </w:pPr>
      <w:r w:rsidRPr="00597FF8">
        <w:rPr>
          <w:rFonts w:ascii="Verdana" w:hAnsi="Verdana" w:cstheme="minorHAnsi"/>
          <w:b/>
        </w:rPr>
        <w:t xml:space="preserve">Case Overview </w:t>
      </w:r>
    </w:p>
    <w:p w:rsidR="00DE4DB3" w:rsidRPr="00597FF8" w:rsidRDefault="001C6C04" w:rsidP="004C4736">
      <w:pPr>
        <w:jc w:val="both"/>
        <w:rPr>
          <w:rFonts w:ascii="Verdana" w:hAnsi="Verdana" w:cstheme="minorHAnsi"/>
        </w:rPr>
      </w:pPr>
      <w:r w:rsidRPr="00597FF8">
        <w:rPr>
          <w:rFonts w:ascii="Verdana" w:hAnsi="Verdana" w:cstheme="minorHAnsi"/>
        </w:rPr>
        <w:t xml:space="preserve">The case related to an action between two Italian nationals concerning </w:t>
      </w:r>
      <w:r w:rsidR="005A1FB0" w:rsidRPr="00597FF8">
        <w:rPr>
          <w:rFonts w:ascii="Verdana" w:hAnsi="Verdana" w:cstheme="minorHAnsi"/>
        </w:rPr>
        <w:t>the compatibility of certain provisions of the Rules of the Italian Football Federation with Articles 7, 48 a</w:t>
      </w:r>
      <w:bookmarkStart w:id="0" w:name="_GoBack"/>
      <w:bookmarkEnd w:id="0"/>
      <w:r w:rsidR="005A1FB0" w:rsidRPr="00597FF8">
        <w:rPr>
          <w:rFonts w:ascii="Verdana" w:hAnsi="Verdana" w:cstheme="minorHAnsi"/>
        </w:rPr>
        <w:t>nd 49 of the Treaty of the European Economic Community (</w:t>
      </w:r>
      <w:r w:rsidR="00597FF8">
        <w:rPr>
          <w:rFonts w:ascii="Verdana" w:hAnsi="Verdana" w:cstheme="minorHAnsi"/>
        </w:rPr>
        <w:t>the EEC)</w:t>
      </w:r>
      <w:r w:rsidR="005A1FB0" w:rsidRPr="00597FF8">
        <w:rPr>
          <w:rFonts w:ascii="Verdana" w:hAnsi="Verdana" w:cstheme="minorHAnsi"/>
        </w:rPr>
        <w:t xml:space="preserve">. </w:t>
      </w:r>
      <w:r w:rsidR="00956A9B" w:rsidRPr="00597FF8">
        <w:rPr>
          <w:rFonts w:ascii="Verdana" w:hAnsi="Verdana" w:cstheme="minorHAnsi"/>
        </w:rPr>
        <w:t xml:space="preserve">The action was brought before the </w:t>
      </w:r>
      <w:proofErr w:type="spellStart"/>
      <w:r w:rsidR="00956A9B" w:rsidRPr="00597FF8">
        <w:rPr>
          <w:rFonts w:ascii="Verdana" w:hAnsi="Verdana" w:cstheme="minorHAnsi"/>
        </w:rPr>
        <w:t>Giudice</w:t>
      </w:r>
      <w:proofErr w:type="spellEnd"/>
      <w:r w:rsidR="00956A9B" w:rsidRPr="00597FF8">
        <w:rPr>
          <w:rFonts w:ascii="Verdana" w:hAnsi="Verdana" w:cstheme="minorHAnsi"/>
        </w:rPr>
        <w:t xml:space="preserve"> </w:t>
      </w:r>
      <w:proofErr w:type="spellStart"/>
      <w:r w:rsidR="00956A9B" w:rsidRPr="00597FF8">
        <w:rPr>
          <w:rFonts w:ascii="Verdana" w:hAnsi="Verdana" w:cstheme="minorHAnsi"/>
        </w:rPr>
        <w:t>Conciliatore</w:t>
      </w:r>
      <w:proofErr w:type="spellEnd"/>
      <w:r w:rsidR="00956A9B" w:rsidRPr="00597FF8">
        <w:rPr>
          <w:rFonts w:ascii="Verdana" w:hAnsi="Verdana" w:cstheme="minorHAnsi"/>
        </w:rPr>
        <w:t xml:space="preserve">, Rovigo, which referred the matter to the </w:t>
      </w:r>
      <w:r w:rsidR="00434518" w:rsidRPr="00597FF8">
        <w:rPr>
          <w:rFonts w:ascii="Verdana" w:hAnsi="Verdana" w:cstheme="minorHAnsi"/>
        </w:rPr>
        <w:t>European Court of Justice (“the ECJ”)</w:t>
      </w:r>
      <w:r w:rsidRPr="00597FF8">
        <w:rPr>
          <w:rFonts w:ascii="Verdana" w:hAnsi="Verdana" w:cstheme="minorHAnsi"/>
        </w:rPr>
        <w:t xml:space="preserve"> for interpretation of Articles 7, 48 and 59 of that Treaty (“the Treaty provisions”) </w:t>
      </w:r>
      <w:r w:rsidR="00956A9B" w:rsidRPr="00597FF8">
        <w:rPr>
          <w:rFonts w:ascii="Verdana" w:hAnsi="Verdana" w:cstheme="minorHAnsi"/>
        </w:rPr>
        <w:t xml:space="preserve">under Article 177 of the </w:t>
      </w:r>
      <w:r w:rsidRPr="00597FF8">
        <w:rPr>
          <w:rFonts w:ascii="Verdana" w:hAnsi="Verdana" w:cstheme="minorHAnsi"/>
        </w:rPr>
        <w:t xml:space="preserve">EEC. </w:t>
      </w:r>
    </w:p>
    <w:p w:rsidR="00597FF8" w:rsidRDefault="00597FF8" w:rsidP="004C4736">
      <w:pPr>
        <w:jc w:val="both"/>
        <w:rPr>
          <w:rFonts w:ascii="Verdana" w:hAnsi="Verdana" w:cstheme="minorHAnsi"/>
          <w:b/>
        </w:rPr>
      </w:pPr>
    </w:p>
    <w:p w:rsidR="00E61D98" w:rsidRPr="00597FF8" w:rsidRDefault="00597FF8" w:rsidP="004C4736">
      <w:pPr>
        <w:jc w:val="both"/>
        <w:rPr>
          <w:rFonts w:ascii="Verdana" w:hAnsi="Verdana" w:cstheme="minorHAnsi"/>
          <w:b/>
        </w:rPr>
      </w:pPr>
      <w:r>
        <w:rPr>
          <w:rFonts w:ascii="Verdana" w:hAnsi="Verdana" w:cstheme="minorHAnsi"/>
          <w:b/>
        </w:rPr>
        <w:t>Background Facts</w:t>
      </w:r>
      <w:r w:rsidR="003F50E5" w:rsidRPr="00597FF8">
        <w:rPr>
          <w:rFonts w:ascii="Verdana" w:hAnsi="Verdana" w:cstheme="minorHAnsi"/>
          <w:b/>
        </w:rPr>
        <w:t xml:space="preserve"> </w:t>
      </w:r>
    </w:p>
    <w:p w:rsidR="00597FF8" w:rsidRPr="00597FF8" w:rsidRDefault="00597FF8" w:rsidP="00DE4DB3">
      <w:pPr>
        <w:jc w:val="both"/>
        <w:rPr>
          <w:rFonts w:ascii="Verdana" w:hAnsi="Verdana" w:cstheme="minorHAnsi"/>
        </w:rPr>
      </w:pPr>
      <w:r>
        <w:rPr>
          <w:rFonts w:ascii="Verdana" w:hAnsi="Verdana" w:cstheme="minorHAnsi"/>
        </w:rPr>
        <w:t xml:space="preserve">Gaetano </w:t>
      </w:r>
      <w:proofErr w:type="spellStart"/>
      <w:r>
        <w:rPr>
          <w:rFonts w:ascii="Verdana" w:hAnsi="Verdana" w:cstheme="minorHAnsi"/>
        </w:rPr>
        <w:t>Donà</w:t>
      </w:r>
      <w:proofErr w:type="spellEnd"/>
      <w:r w:rsidR="005A1FB0" w:rsidRPr="00597FF8">
        <w:rPr>
          <w:rFonts w:ascii="Verdana" w:hAnsi="Verdana" w:cstheme="minorHAnsi"/>
        </w:rPr>
        <w:t xml:space="preserve"> was instru</w:t>
      </w:r>
      <w:r w:rsidR="00956A9B" w:rsidRPr="00597FF8">
        <w:rPr>
          <w:rFonts w:ascii="Verdana" w:hAnsi="Verdana" w:cstheme="minorHAnsi"/>
        </w:rPr>
        <w:t xml:space="preserve">cted by </w:t>
      </w:r>
      <w:r w:rsidR="001C6C04" w:rsidRPr="00597FF8">
        <w:rPr>
          <w:rFonts w:ascii="Verdana" w:hAnsi="Verdana" w:cstheme="minorHAnsi"/>
        </w:rPr>
        <w:t xml:space="preserve">Mario </w:t>
      </w:r>
      <w:proofErr w:type="spellStart"/>
      <w:r w:rsidR="007A7457" w:rsidRPr="00597FF8">
        <w:rPr>
          <w:rFonts w:ascii="Verdana" w:hAnsi="Verdana" w:cstheme="minorHAnsi"/>
        </w:rPr>
        <w:t>Mantero</w:t>
      </w:r>
      <w:proofErr w:type="spellEnd"/>
      <w:r w:rsidR="007A7457" w:rsidRPr="00597FF8">
        <w:rPr>
          <w:rFonts w:ascii="Verdana" w:hAnsi="Verdana" w:cstheme="minorHAnsi"/>
        </w:rPr>
        <w:t>, Chairman</w:t>
      </w:r>
      <w:r w:rsidR="00956A9B" w:rsidRPr="00597FF8">
        <w:rPr>
          <w:rFonts w:ascii="Verdana" w:hAnsi="Verdana" w:cstheme="minorHAnsi"/>
        </w:rPr>
        <w:t xml:space="preserve"> of Rovigo </w:t>
      </w:r>
      <w:r w:rsidR="005A1FB0" w:rsidRPr="00597FF8">
        <w:rPr>
          <w:rFonts w:ascii="Verdana" w:hAnsi="Verdana" w:cstheme="minorHAnsi"/>
        </w:rPr>
        <w:t>Football Club</w:t>
      </w:r>
      <w:r w:rsidR="001C6C04" w:rsidRPr="00597FF8">
        <w:rPr>
          <w:rFonts w:ascii="Verdana" w:hAnsi="Verdana" w:cstheme="minorHAnsi"/>
        </w:rPr>
        <w:t>,</w:t>
      </w:r>
      <w:r w:rsidR="005A1FB0" w:rsidRPr="00597FF8">
        <w:rPr>
          <w:rFonts w:ascii="Verdana" w:hAnsi="Verdana" w:cstheme="minorHAnsi"/>
        </w:rPr>
        <w:t xml:space="preserve"> to seek out players abroad willing to play for the Rovigo team. </w:t>
      </w:r>
      <w:r w:rsidR="00956A9B" w:rsidRPr="00597FF8">
        <w:rPr>
          <w:rFonts w:ascii="Verdana" w:hAnsi="Verdana" w:cstheme="minorHAnsi"/>
        </w:rPr>
        <w:t xml:space="preserve">To that </w:t>
      </w:r>
      <w:proofErr w:type="gramStart"/>
      <w:r w:rsidR="00956A9B" w:rsidRPr="00597FF8">
        <w:rPr>
          <w:rFonts w:ascii="Verdana" w:hAnsi="Verdana" w:cstheme="minorHAnsi"/>
        </w:rPr>
        <w:t xml:space="preserve">end, </w:t>
      </w:r>
      <w:r>
        <w:rPr>
          <w:rFonts w:ascii="Verdana" w:hAnsi="Verdana" w:cstheme="minorHAnsi"/>
        </w:rPr>
        <w:t xml:space="preserve"> </w:t>
      </w:r>
      <w:proofErr w:type="spellStart"/>
      <w:r>
        <w:rPr>
          <w:rFonts w:ascii="Verdana" w:hAnsi="Verdana" w:cstheme="minorHAnsi"/>
        </w:rPr>
        <w:t>Donà</w:t>
      </w:r>
      <w:proofErr w:type="spellEnd"/>
      <w:proofErr w:type="gramEnd"/>
      <w:r w:rsidR="005A1FB0" w:rsidRPr="00597FF8">
        <w:rPr>
          <w:rFonts w:ascii="Verdana" w:hAnsi="Verdana" w:cstheme="minorHAnsi"/>
        </w:rPr>
        <w:t xml:space="preserve"> placed an adver</w:t>
      </w:r>
      <w:r w:rsidR="00956A9B" w:rsidRPr="00597FF8">
        <w:rPr>
          <w:rFonts w:ascii="Verdana" w:hAnsi="Verdana" w:cstheme="minorHAnsi"/>
        </w:rPr>
        <w:t xml:space="preserve">tisement in a Belgian newspaper. </w:t>
      </w:r>
      <w:r w:rsidR="005A1FB0" w:rsidRPr="00597FF8">
        <w:rPr>
          <w:rFonts w:ascii="Verdana" w:hAnsi="Verdana" w:cstheme="minorHAnsi"/>
        </w:rPr>
        <w:t xml:space="preserve">However, the Chairman refused to consider the offers submitted </w:t>
      </w:r>
      <w:r w:rsidR="00DE4DB3" w:rsidRPr="00597FF8">
        <w:rPr>
          <w:rFonts w:ascii="Verdana" w:hAnsi="Verdana" w:cstheme="minorHAnsi"/>
        </w:rPr>
        <w:t xml:space="preserve">in lieu of the advertisement on the basis that </w:t>
      </w:r>
      <w:r w:rsidR="005A1FB0" w:rsidRPr="00597FF8">
        <w:rPr>
          <w:rFonts w:ascii="Verdana" w:hAnsi="Verdana" w:cstheme="minorHAnsi"/>
        </w:rPr>
        <w:t xml:space="preserve">the Rules </w:t>
      </w:r>
      <w:r w:rsidR="00DE4DB3" w:rsidRPr="00597FF8">
        <w:rPr>
          <w:rFonts w:ascii="Verdana" w:hAnsi="Verdana" w:cstheme="minorHAnsi"/>
        </w:rPr>
        <w:t xml:space="preserve">of the </w:t>
      </w:r>
      <w:r w:rsidR="00956A9B" w:rsidRPr="00597FF8">
        <w:rPr>
          <w:rFonts w:ascii="Verdana" w:hAnsi="Verdana" w:cstheme="minorHAnsi"/>
        </w:rPr>
        <w:t xml:space="preserve">Italian Football Federation only permitted players affiliated with that federation to participate in matches as professional or semi-professional players, and that affiliation was in principle only open to players of Italian nationality. The Chairman also refused to pay Mr Dona the expense of the advertisement. </w:t>
      </w:r>
    </w:p>
    <w:p w:rsidR="003618BD" w:rsidRDefault="001C6C04" w:rsidP="00DE4DB3">
      <w:pPr>
        <w:jc w:val="both"/>
        <w:rPr>
          <w:rFonts w:ascii="Verdana" w:hAnsi="Verdana" w:cstheme="minorHAnsi"/>
        </w:rPr>
      </w:pPr>
      <w:r w:rsidRPr="00597FF8">
        <w:rPr>
          <w:rFonts w:ascii="Verdana" w:hAnsi="Verdana" w:cstheme="minorHAnsi"/>
        </w:rPr>
        <w:t>The ma</w:t>
      </w:r>
      <w:r w:rsidR="007A7457" w:rsidRPr="00597FF8">
        <w:rPr>
          <w:rFonts w:ascii="Verdana" w:hAnsi="Verdana" w:cstheme="minorHAnsi"/>
        </w:rPr>
        <w:t>t</w:t>
      </w:r>
      <w:r w:rsidRPr="00597FF8">
        <w:rPr>
          <w:rFonts w:ascii="Verdana" w:hAnsi="Verdana" w:cstheme="minorHAnsi"/>
        </w:rPr>
        <w:t xml:space="preserve">ter was placed before the </w:t>
      </w:r>
      <w:proofErr w:type="spellStart"/>
      <w:r w:rsidRPr="00597FF8">
        <w:rPr>
          <w:rFonts w:ascii="Verdana" w:hAnsi="Verdana" w:cstheme="minorHAnsi"/>
        </w:rPr>
        <w:t>Giudice</w:t>
      </w:r>
      <w:proofErr w:type="spellEnd"/>
      <w:r w:rsidRPr="00597FF8">
        <w:rPr>
          <w:rFonts w:ascii="Verdana" w:hAnsi="Verdana" w:cstheme="minorHAnsi"/>
        </w:rPr>
        <w:t xml:space="preserve"> </w:t>
      </w:r>
      <w:proofErr w:type="spellStart"/>
      <w:r w:rsidRPr="00597FF8">
        <w:rPr>
          <w:rFonts w:ascii="Verdana" w:hAnsi="Verdana" w:cstheme="minorHAnsi"/>
        </w:rPr>
        <w:t>Conciliatore</w:t>
      </w:r>
      <w:proofErr w:type="spellEnd"/>
      <w:r w:rsidRPr="00597FF8">
        <w:rPr>
          <w:rFonts w:ascii="Verdana" w:hAnsi="Verdana" w:cstheme="minorHAnsi"/>
        </w:rPr>
        <w:t>, Rovigo</w:t>
      </w:r>
      <w:r w:rsidR="00434518" w:rsidRPr="00597FF8">
        <w:rPr>
          <w:rFonts w:ascii="Verdana" w:hAnsi="Verdana" w:cstheme="minorHAnsi"/>
        </w:rPr>
        <w:t>,</w:t>
      </w:r>
      <w:r w:rsidRPr="00597FF8">
        <w:rPr>
          <w:rFonts w:ascii="Verdana" w:hAnsi="Verdana" w:cstheme="minorHAnsi"/>
        </w:rPr>
        <w:t xml:space="preserve"> which</w:t>
      </w:r>
      <w:r w:rsidR="007A7457" w:rsidRPr="00597FF8">
        <w:rPr>
          <w:rFonts w:ascii="Verdana" w:hAnsi="Verdana" w:cstheme="minorHAnsi"/>
        </w:rPr>
        <w:t xml:space="preserve"> referred the matter to the </w:t>
      </w:r>
      <w:r w:rsidR="00434518" w:rsidRPr="00597FF8">
        <w:rPr>
          <w:rFonts w:ascii="Verdana" w:hAnsi="Verdana" w:cstheme="minorHAnsi"/>
        </w:rPr>
        <w:t xml:space="preserve">ECJ </w:t>
      </w:r>
      <w:r w:rsidR="00126741" w:rsidRPr="00597FF8">
        <w:rPr>
          <w:rFonts w:ascii="Verdana" w:hAnsi="Verdana" w:cstheme="minorHAnsi"/>
        </w:rPr>
        <w:t xml:space="preserve">for clarification </w:t>
      </w:r>
      <w:r w:rsidR="00434518" w:rsidRPr="00597FF8">
        <w:rPr>
          <w:rFonts w:ascii="Verdana" w:hAnsi="Verdana" w:cstheme="minorHAnsi"/>
        </w:rPr>
        <w:t xml:space="preserve">on the </w:t>
      </w:r>
      <w:r w:rsidR="00126741" w:rsidRPr="00597FF8">
        <w:rPr>
          <w:rFonts w:ascii="Verdana" w:hAnsi="Verdana" w:cstheme="minorHAnsi"/>
        </w:rPr>
        <w:t>interpretation of the Treaty provisions at issue</w:t>
      </w:r>
      <w:r w:rsidR="007A7457" w:rsidRPr="00597FF8">
        <w:rPr>
          <w:rFonts w:ascii="Verdana" w:hAnsi="Verdana" w:cstheme="minorHAnsi"/>
        </w:rPr>
        <w:t>. The</w:t>
      </w:r>
      <w:r w:rsidR="00916F90" w:rsidRPr="00597FF8">
        <w:rPr>
          <w:rFonts w:ascii="Verdana" w:hAnsi="Verdana" w:cstheme="minorHAnsi"/>
        </w:rPr>
        <w:t xml:space="preserve"> ECJ</w:t>
      </w:r>
      <w:r w:rsidR="007A7457" w:rsidRPr="00597FF8">
        <w:rPr>
          <w:rFonts w:ascii="Verdana" w:hAnsi="Verdana" w:cstheme="minorHAnsi"/>
        </w:rPr>
        <w:t xml:space="preserve"> </w:t>
      </w:r>
      <w:r w:rsidR="00126741" w:rsidRPr="00597FF8">
        <w:rPr>
          <w:rFonts w:ascii="Verdana" w:hAnsi="Verdana" w:cstheme="minorHAnsi"/>
        </w:rPr>
        <w:t>was asked to consider</w:t>
      </w:r>
      <w:r w:rsidR="003618BD" w:rsidRPr="00597FF8">
        <w:rPr>
          <w:rFonts w:ascii="Verdana" w:hAnsi="Verdana" w:cstheme="minorHAnsi"/>
        </w:rPr>
        <w:t>: (</w:t>
      </w:r>
      <w:proofErr w:type="spellStart"/>
      <w:r w:rsidR="003618BD" w:rsidRPr="00597FF8">
        <w:rPr>
          <w:rFonts w:ascii="Verdana" w:hAnsi="Verdana" w:cstheme="minorHAnsi"/>
        </w:rPr>
        <w:t>i</w:t>
      </w:r>
      <w:proofErr w:type="spellEnd"/>
      <w:r w:rsidR="003618BD" w:rsidRPr="00597FF8">
        <w:rPr>
          <w:rFonts w:ascii="Verdana" w:hAnsi="Verdana" w:cstheme="minorHAnsi"/>
        </w:rPr>
        <w:t>)</w:t>
      </w:r>
      <w:r w:rsidR="00126741" w:rsidRPr="00597FF8">
        <w:rPr>
          <w:rFonts w:ascii="Verdana" w:hAnsi="Verdana" w:cstheme="minorHAnsi"/>
        </w:rPr>
        <w:t xml:space="preserve"> whether Articles 7, 48 and 59 of the Treaty conferred upon all nationals of EU Member States the right to provide a service anywhere within the EU</w:t>
      </w:r>
      <w:r w:rsidR="003618BD" w:rsidRPr="00597FF8">
        <w:rPr>
          <w:rFonts w:ascii="Verdana" w:hAnsi="Verdana" w:cstheme="minorHAnsi"/>
        </w:rPr>
        <w:t>; and (ii)</w:t>
      </w:r>
      <w:r w:rsidR="00126741" w:rsidRPr="00597FF8">
        <w:rPr>
          <w:rFonts w:ascii="Verdana" w:hAnsi="Verdana" w:cstheme="minorHAnsi"/>
        </w:rPr>
        <w:t xml:space="preserve"> whether this right extended to football player</w:t>
      </w:r>
      <w:r w:rsidR="00916F90" w:rsidRPr="00597FF8">
        <w:rPr>
          <w:rFonts w:ascii="Verdana" w:hAnsi="Verdana" w:cstheme="minorHAnsi"/>
        </w:rPr>
        <w:t>s in gainful employment</w:t>
      </w:r>
      <w:r w:rsidR="00126741" w:rsidRPr="00597FF8">
        <w:rPr>
          <w:rFonts w:ascii="Verdana" w:hAnsi="Verdana" w:cstheme="minorHAnsi"/>
        </w:rPr>
        <w:t xml:space="preserve"> </w:t>
      </w:r>
      <w:r w:rsidR="00916F90" w:rsidRPr="00597FF8">
        <w:rPr>
          <w:rFonts w:ascii="Verdana" w:hAnsi="Verdana" w:cstheme="minorHAnsi"/>
        </w:rPr>
        <w:t xml:space="preserve">(i.e. </w:t>
      </w:r>
      <w:r w:rsidR="00126741" w:rsidRPr="00597FF8">
        <w:rPr>
          <w:rFonts w:ascii="Verdana" w:hAnsi="Verdana" w:cstheme="minorHAnsi"/>
        </w:rPr>
        <w:t xml:space="preserve">players remunerated for their participation </w:t>
      </w:r>
      <w:r w:rsidR="00916F90" w:rsidRPr="00597FF8">
        <w:rPr>
          <w:rFonts w:ascii="Verdana" w:hAnsi="Verdana" w:cstheme="minorHAnsi"/>
        </w:rPr>
        <w:t>in the sport).</w:t>
      </w:r>
      <w:r w:rsidR="00126741" w:rsidRPr="00597FF8">
        <w:rPr>
          <w:rFonts w:ascii="Verdana" w:hAnsi="Verdana" w:cstheme="minorHAnsi"/>
        </w:rPr>
        <w:t xml:space="preserve"> </w:t>
      </w:r>
      <w:r w:rsidR="00434518" w:rsidRPr="00597FF8">
        <w:rPr>
          <w:rFonts w:ascii="Verdana" w:hAnsi="Verdana" w:cstheme="minorHAnsi"/>
        </w:rPr>
        <w:t xml:space="preserve">Subject to the </w:t>
      </w:r>
      <w:r w:rsidR="00916F90" w:rsidRPr="00597FF8">
        <w:rPr>
          <w:rFonts w:ascii="Verdana" w:hAnsi="Verdana" w:cstheme="minorHAnsi"/>
        </w:rPr>
        <w:t>ECJ’s</w:t>
      </w:r>
      <w:r w:rsidR="00434518" w:rsidRPr="00597FF8">
        <w:rPr>
          <w:rFonts w:ascii="Verdana" w:hAnsi="Verdana" w:cstheme="minorHAnsi"/>
        </w:rPr>
        <w:t xml:space="preserve"> answers to these questions the</w:t>
      </w:r>
      <w:r w:rsidR="00916F90" w:rsidRPr="00597FF8">
        <w:rPr>
          <w:rFonts w:ascii="Verdana" w:hAnsi="Verdana" w:cstheme="minorHAnsi"/>
        </w:rPr>
        <w:t xml:space="preserve"> ECJ</w:t>
      </w:r>
      <w:r w:rsidR="003618BD" w:rsidRPr="00597FF8">
        <w:rPr>
          <w:rFonts w:ascii="Verdana" w:hAnsi="Verdana" w:cstheme="minorHAnsi"/>
        </w:rPr>
        <w:t xml:space="preserve"> was asked</w:t>
      </w:r>
      <w:r w:rsidR="00434518" w:rsidRPr="00597FF8">
        <w:rPr>
          <w:rFonts w:ascii="Verdana" w:hAnsi="Verdana" w:cstheme="minorHAnsi"/>
        </w:rPr>
        <w:t xml:space="preserve"> </w:t>
      </w:r>
      <w:r w:rsidR="003618BD" w:rsidRPr="00597FF8">
        <w:rPr>
          <w:rFonts w:ascii="Verdana" w:hAnsi="Verdana" w:cstheme="minorHAnsi"/>
        </w:rPr>
        <w:t>(iii) whether</w:t>
      </w:r>
      <w:r w:rsidR="00434518" w:rsidRPr="00597FF8">
        <w:rPr>
          <w:rFonts w:ascii="Verdana" w:hAnsi="Verdana" w:cstheme="minorHAnsi"/>
        </w:rPr>
        <w:t xml:space="preserve"> t</w:t>
      </w:r>
      <w:r w:rsidR="00126741" w:rsidRPr="00597FF8">
        <w:rPr>
          <w:rFonts w:ascii="Verdana" w:hAnsi="Verdana" w:cstheme="minorHAnsi"/>
        </w:rPr>
        <w:t xml:space="preserve">hese </w:t>
      </w:r>
      <w:r w:rsidR="004C302D" w:rsidRPr="00597FF8">
        <w:rPr>
          <w:rFonts w:ascii="Verdana" w:hAnsi="Verdana" w:cstheme="minorHAnsi"/>
        </w:rPr>
        <w:t>rights</w:t>
      </w:r>
      <w:r w:rsidR="003618BD" w:rsidRPr="00597FF8">
        <w:rPr>
          <w:rFonts w:ascii="Verdana" w:hAnsi="Verdana" w:cstheme="minorHAnsi"/>
        </w:rPr>
        <w:t xml:space="preserve"> would</w:t>
      </w:r>
      <w:r w:rsidR="004C302D" w:rsidRPr="00597FF8">
        <w:rPr>
          <w:rFonts w:ascii="Verdana" w:hAnsi="Verdana" w:cstheme="minorHAnsi"/>
        </w:rPr>
        <w:t xml:space="preserve"> protect nationals of Member States against the application of incompatible rules</w:t>
      </w:r>
      <w:r w:rsidR="00BA68C8" w:rsidRPr="00597FF8">
        <w:rPr>
          <w:rFonts w:ascii="Verdana" w:hAnsi="Verdana" w:cstheme="minorHAnsi"/>
        </w:rPr>
        <w:t xml:space="preserve"> </w:t>
      </w:r>
      <w:r w:rsidR="004C302D" w:rsidRPr="00597FF8">
        <w:rPr>
          <w:rFonts w:ascii="Verdana" w:hAnsi="Verdana" w:cstheme="minorHAnsi"/>
        </w:rPr>
        <w:t>c</w:t>
      </w:r>
      <w:r w:rsidR="003618BD" w:rsidRPr="00597FF8">
        <w:rPr>
          <w:rFonts w:ascii="Verdana" w:hAnsi="Verdana" w:cstheme="minorHAnsi"/>
        </w:rPr>
        <w:t>reated by a sporting federation; and</w:t>
      </w:r>
      <w:r w:rsidR="00434518" w:rsidRPr="00597FF8">
        <w:rPr>
          <w:rFonts w:ascii="Verdana" w:hAnsi="Verdana" w:cstheme="minorHAnsi"/>
        </w:rPr>
        <w:t xml:space="preserve"> </w:t>
      </w:r>
      <w:r w:rsidR="003618BD" w:rsidRPr="00597FF8">
        <w:rPr>
          <w:rFonts w:ascii="Verdana" w:hAnsi="Verdana" w:cstheme="minorHAnsi"/>
        </w:rPr>
        <w:t xml:space="preserve">(iv) whether these rights would have direct effect in the national courts? </w:t>
      </w:r>
    </w:p>
    <w:p w:rsidR="00597FF8" w:rsidRDefault="00597FF8" w:rsidP="00597FF8">
      <w:pPr>
        <w:jc w:val="both"/>
        <w:rPr>
          <w:rFonts w:ascii="Verdana" w:hAnsi="Verdana" w:cstheme="minorHAnsi"/>
          <w:b/>
        </w:rPr>
      </w:pPr>
    </w:p>
    <w:p w:rsidR="00597FF8" w:rsidRDefault="00597FF8" w:rsidP="00597FF8">
      <w:pPr>
        <w:jc w:val="both"/>
        <w:rPr>
          <w:rFonts w:ascii="Verdana" w:hAnsi="Verdana" w:cstheme="minorHAnsi"/>
          <w:b/>
        </w:rPr>
      </w:pPr>
      <w:r>
        <w:rPr>
          <w:rFonts w:ascii="Verdana" w:hAnsi="Verdana" w:cstheme="minorHAnsi"/>
          <w:b/>
        </w:rPr>
        <w:t>Outcome</w:t>
      </w:r>
    </w:p>
    <w:p w:rsidR="00AE0D58" w:rsidRPr="00597FF8" w:rsidRDefault="003618BD" w:rsidP="00DE4DB3">
      <w:pPr>
        <w:jc w:val="both"/>
        <w:rPr>
          <w:rFonts w:ascii="Verdana" w:hAnsi="Verdana" w:cstheme="minorHAnsi"/>
        </w:rPr>
      </w:pPr>
      <w:r w:rsidRPr="00597FF8">
        <w:rPr>
          <w:rFonts w:ascii="Verdana" w:hAnsi="Verdana" w:cstheme="minorHAnsi"/>
        </w:rPr>
        <w:t>In relation to the first question</w:t>
      </w:r>
      <w:r w:rsidR="00AE0D58" w:rsidRPr="00597FF8">
        <w:rPr>
          <w:rFonts w:ascii="Verdana" w:hAnsi="Verdana" w:cstheme="minorHAnsi"/>
        </w:rPr>
        <w:t xml:space="preserve"> the ECJ found that national provisions that restricted the activities covered by Articles 7, 48 and 49 of the Treaty to </w:t>
      </w:r>
      <w:r w:rsidR="00AE0D58" w:rsidRPr="00597FF8">
        <w:rPr>
          <w:rFonts w:ascii="Verdana" w:hAnsi="Verdana" w:cstheme="minorHAnsi"/>
          <w:i/>
        </w:rPr>
        <w:t xml:space="preserve">“nationals of one Member State alone is incompatible with the </w:t>
      </w:r>
      <w:r w:rsidR="00614A28" w:rsidRPr="00597FF8">
        <w:rPr>
          <w:rFonts w:ascii="Verdana" w:hAnsi="Verdana" w:cstheme="minorHAnsi"/>
          <w:i/>
        </w:rPr>
        <w:t>Community</w:t>
      </w:r>
      <w:r w:rsidR="00AE0D58" w:rsidRPr="00597FF8">
        <w:rPr>
          <w:rFonts w:ascii="Verdana" w:hAnsi="Verdana" w:cstheme="minorHAnsi"/>
          <w:i/>
        </w:rPr>
        <w:t xml:space="preserve"> rule”</w:t>
      </w:r>
      <w:r w:rsidR="00AE0D58" w:rsidRPr="00597FF8">
        <w:rPr>
          <w:rFonts w:ascii="Verdana" w:hAnsi="Verdana" w:cstheme="minorHAnsi"/>
        </w:rPr>
        <w:t>. In respect of</w:t>
      </w:r>
      <w:r w:rsidRPr="00597FF8">
        <w:rPr>
          <w:rFonts w:ascii="Verdana" w:hAnsi="Verdana" w:cstheme="minorHAnsi"/>
        </w:rPr>
        <w:t xml:space="preserve"> the second question</w:t>
      </w:r>
      <w:r w:rsidR="00AE0D58" w:rsidRPr="00597FF8">
        <w:rPr>
          <w:rFonts w:ascii="Verdana" w:hAnsi="Verdana" w:cstheme="minorHAnsi"/>
        </w:rPr>
        <w:t>,</w:t>
      </w:r>
      <w:r w:rsidRPr="00597FF8">
        <w:rPr>
          <w:rFonts w:ascii="Verdana" w:hAnsi="Verdana" w:cstheme="minorHAnsi"/>
        </w:rPr>
        <w:t xml:space="preserve"> t</w:t>
      </w:r>
      <w:r w:rsidR="007A7457" w:rsidRPr="00597FF8">
        <w:rPr>
          <w:rFonts w:ascii="Verdana" w:hAnsi="Verdana" w:cstheme="minorHAnsi"/>
        </w:rPr>
        <w:t xml:space="preserve">he </w:t>
      </w:r>
      <w:r w:rsidR="00AE0D58" w:rsidRPr="00597FF8">
        <w:rPr>
          <w:rFonts w:ascii="Verdana" w:hAnsi="Verdana" w:cstheme="minorHAnsi"/>
        </w:rPr>
        <w:t>ECJ</w:t>
      </w:r>
      <w:r w:rsidR="007A7457" w:rsidRPr="00597FF8">
        <w:rPr>
          <w:rFonts w:ascii="Verdana" w:hAnsi="Verdana" w:cstheme="minorHAnsi"/>
        </w:rPr>
        <w:t xml:space="preserve"> noted that the p</w:t>
      </w:r>
      <w:r w:rsidR="004C302D" w:rsidRPr="00597FF8">
        <w:rPr>
          <w:rFonts w:ascii="Verdana" w:hAnsi="Verdana" w:cstheme="minorHAnsi"/>
        </w:rPr>
        <w:t>ractice of sport is subject to Community L</w:t>
      </w:r>
      <w:r w:rsidR="00335E0A" w:rsidRPr="00597FF8">
        <w:rPr>
          <w:rFonts w:ascii="Verdana" w:hAnsi="Verdana" w:cstheme="minorHAnsi"/>
        </w:rPr>
        <w:t>aw</w:t>
      </w:r>
      <w:r w:rsidR="007A7457" w:rsidRPr="00597FF8">
        <w:rPr>
          <w:rFonts w:ascii="Verdana" w:hAnsi="Verdana" w:cstheme="minorHAnsi"/>
        </w:rPr>
        <w:t xml:space="preserve"> in so far as it constitutes an economic activity, and that this applied to semi-professional and professional players in gainful employment. </w:t>
      </w:r>
      <w:r w:rsidR="004C302D" w:rsidRPr="00597FF8">
        <w:rPr>
          <w:rFonts w:ascii="Verdana" w:hAnsi="Verdana" w:cstheme="minorHAnsi"/>
        </w:rPr>
        <w:lastRenderedPageBreak/>
        <w:t xml:space="preserve">Treaty provisions would not preclude rules of sporting federations that exclude foreign players </w:t>
      </w:r>
      <w:r w:rsidR="00263918" w:rsidRPr="00597FF8">
        <w:rPr>
          <w:rFonts w:ascii="Verdana" w:hAnsi="Verdana" w:cstheme="minorHAnsi"/>
        </w:rPr>
        <w:t>from participation</w:t>
      </w:r>
      <w:r w:rsidR="004C302D" w:rsidRPr="00597FF8">
        <w:rPr>
          <w:rFonts w:ascii="Verdana" w:hAnsi="Verdana" w:cstheme="minorHAnsi"/>
        </w:rPr>
        <w:t xml:space="preserve"> </w:t>
      </w:r>
      <w:r w:rsidR="00AE0D58" w:rsidRPr="00597FF8">
        <w:rPr>
          <w:rFonts w:ascii="Verdana" w:hAnsi="Verdana" w:cstheme="minorHAnsi"/>
        </w:rPr>
        <w:t xml:space="preserve">in certain matches </w:t>
      </w:r>
      <w:r w:rsidR="00263918" w:rsidRPr="00597FF8">
        <w:rPr>
          <w:rFonts w:ascii="Verdana" w:hAnsi="Verdana" w:cstheme="minorHAnsi"/>
        </w:rPr>
        <w:t xml:space="preserve">for reasons that are </w:t>
      </w:r>
      <w:r w:rsidR="004C302D" w:rsidRPr="00597FF8">
        <w:rPr>
          <w:rFonts w:ascii="Verdana" w:hAnsi="Verdana" w:cstheme="minorHAnsi"/>
        </w:rPr>
        <w:t xml:space="preserve">not of an economic nature, such as </w:t>
      </w:r>
      <w:r w:rsidR="007A7457" w:rsidRPr="00597FF8">
        <w:rPr>
          <w:rFonts w:ascii="Verdana" w:hAnsi="Verdana" w:cstheme="minorHAnsi"/>
        </w:rPr>
        <w:t xml:space="preserve">selection for </w:t>
      </w:r>
      <w:r w:rsidR="004C302D" w:rsidRPr="00597FF8">
        <w:rPr>
          <w:rFonts w:ascii="Verdana" w:hAnsi="Verdana" w:cstheme="minorHAnsi"/>
        </w:rPr>
        <w:t>the national team</w:t>
      </w:r>
      <w:r w:rsidR="00AE0D58" w:rsidRPr="00597FF8">
        <w:rPr>
          <w:rFonts w:ascii="Verdana" w:hAnsi="Verdana" w:cstheme="minorHAnsi"/>
        </w:rPr>
        <w:t xml:space="preserve">. Any such restriction however, </w:t>
      </w:r>
      <w:r w:rsidR="004C302D" w:rsidRPr="00597FF8">
        <w:rPr>
          <w:rFonts w:ascii="Verdana" w:hAnsi="Verdana" w:cstheme="minorHAnsi"/>
        </w:rPr>
        <w:t xml:space="preserve">must be limited to its proper objective. </w:t>
      </w:r>
      <w:r w:rsidR="00263918" w:rsidRPr="00597FF8">
        <w:rPr>
          <w:rFonts w:ascii="Verdana" w:hAnsi="Verdana" w:cstheme="minorHAnsi"/>
        </w:rPr>
        <w:t xml:space="preserve">Finally, the Court determined that the mandatory nature of the provisions at issue would need to be </w:t>
      </w:r>
      <w:r w:rsidR="00AE0D58" w:rsidRPr="00597FF8">
        <w:rPr>
          <w:rFonts w:ascii="Verdana" w:hAnsi="Verdana" w:cstheme="minorHAnsi"/>
        </w:rPr>
        <w:t>considered</w:t>
      </w:r>
      <w:r w:rsidR="00263918" w:rsidRPr="00597FF8">
        <w:rPr>
          <w:rFonts w:ascii="Verdana" w:hAnsi="Verdana" w:cstheme="minorHAnsi"/>
        </w:rPr>
        <w:t xml:space="preserve"> by national courts in their assessment of the provisions of a sporting organisation. </w:t>
      </w:r>
    </w:p>
    <w:p w:rsidR="00036F06" w:rsidRPr="00597FF8" w:rsidRDefault="00AE0D58" w:rsidP="00036F06">
      <w:pPr>
        <w:jc w:val="both"/>
        <w:rPr>
          <w:rFonts w:ascii="Verdana" w:hAnsi="Verdana" w:cstheme="minorHAnsi"/>
        </w:rPr>
      </w:pPr>
      <w:r w:rsidRPr="00597FF8">
        <w:rPr>
          <w:rFonts w:ascii="Verdana" w:hAnsi="Verdana" w:cstheme="minorHAnsi"/>
        </w:rPr>
        <w:t xml:space="preserve">The Courts answers to the questions referred to it by the </w:t>
      </w:r>
      <w:proofErr w:type="spellStart"/>
      <w:r w:rsidRPr="00597FF8">
        <w:rPr>
          <w:rFonts w:ascii="Verdana" w:hAnsi="Verdana" w:cstheme="minorHAnsi"/>
        </w:rPr>
        <w:t>Giudice</w:t>
      </w:r>
      <w:proofErr w:type="spellEnd"/>
      <w:r w:rsidRPr="00597FF8">
        <w:rPr>
          <w:rFonts w:ascii="Verdana" w:hAnsi="Verdana" w:cstheme="minorHAnsi"/>
        </w:rPr>
        <w:t xml:space="preserve"> </w:t>
      </w:r>
      <w:proofErr w:type="spellStart"/>
      <w:r w:rsidRPr="00597FF8">
        <w:rPr>
          <w:rFonts w:ascii="Verdana" w:hAnsi="Verdana" w:cstheme="minorHAnsi"/>
        </w:rPr>
        <w:t>Conciliatore</w:t>
      </w:r>
      <w:proofErr w:type="spellEnd"/>
      <w:r w:rsidRPr="00597FF8">
        <w:rPr>
          <w:rFonts w:ascii="Verdana" w:hAnsi="Verdana" w:cstheme="minorHAnsi"/>
        </w:rPr>
        <w:t xml:space="preserve"> were as follows: </w:t>
      </w:r>
    </w:p>
    <w:p w:rsidR="00036F06" w:rsidRPr="00597FF8" w:rsidRDefault="00036F06" w:rsidP="00036F06">
      <w:pPr>
        <w:pStyle w:val="ListParagraph"/>
        <w:numPr>
          <w:ilvl w:val="0"/>
          <w:numId w:val="20"/>
        </w:numPr>
        <w:jc w:val="both"/>
        <w:rPr>
          <w:rFonts w:ascii="Verdana" w:hAnsi="Verdana" w:cstheme="minorHAnsi"/>
          <w:i/>
        </w:rPr>
      </w:pPr>
      <w:r w:rsidRPr="00597FF8">
        <w:rPr>
          <w:rFonts w:ascii="Verdana" w:hAnsi="Verdana" w:cstheme="minorHAnsi"/>
          <w:i/>
        </w:rPr>
        <w:t xml:space="preserve">“ </w:t>
      </w:r>
      <w:r w:rsidR="00AE0D58" w:rsidRPr="00597FF8">
        <w:rPr>
          <w:rFonts w:ascii="Verdana" w:hAnsi="Verdana" w:cstheme="minorHAnsi"/>
          <w:i/>
        </w:rPr>
        <w:t xml:space="preserve">Rules or a national practice, </w:t>
      </w:r>
      <w:r w:rsidRPr="00597FF8">
        <w:rPr>
          <w:rFonts w:ascii="Verdana" w:hAnsi="Verdana" w:cstheme="minorHAnsi"/>
          <w:i/>
        </w:rPr>
        <w:t>e</w:t>
      </w:r>
      <w:r w:rsidR="00AE0D58" w:rsidRPr="00597FF8">
        <w:rPr>
          <w:rFonts w:ascii="Verdana" w:hAnsi="Verdana" w:cstheme="minorHAnsi"/>
          <w:i/>
        </w:rPr>
        <w:t>ven adopted by a sporting organization, which limit the right to take part in football matches as professional or semi-professio</w:t>
      </w:r>
      <w:r w:rsidRPr="00597FF8">
        <w:rPr>
          <w:rFonts w:ascii="Verdana" w:hAnsi="Verdana" w:cstheme="minorHAnsi"/>
          <w:i/>
        </w:rPr>
        <w:t>nal players sol</w:t>
      </w:r>
      <w:r w:rsidR="00AE0D58" w:rsidRPr="00597FF8">
        <w:rPr>
          <w:rFonts w:ascii="Verdana" w:hAnsi="Verdana" w:cstheme="minorHAnsi"/>
          <w:i/>
        </w:rPr>
        <w:t xml:space="preserve">ely to the nationals of the State in question, are incompatible with Article 7 and, as the case may be, with Articles 48 to 51 or 59 to 66 of the Treaty, unless such rules or practice exclude foreign players from participation in certain matches for reasons which are not of an economic nature, which relate to the particular nature and context of such matches and are thus of sporting interest only. </w:t>
      </w:r>
    </w:p>
    <w:p w:rsidR="00036F06" w:rsidRPr="00597FF8" w:rsidRDefault="00036F06" w:rsidP="00036F06">
      <w:pPr>
        <w:pStyle w:val="ListParagraph"/>
        <w:jc w:val="both"/>
        <w:rPr>
          <w:rFonts w:ascii="Verdana" w:hAnsi="Verdana" w:cstheme="minorHAnsi"/>
          <w:i/>
        </w:rPr>
      </w:pPr>
    </w:p>
    <w:p w:rsidR="00036F06" w:rsidRPr="00597FF8" w:rsidRDefault="00AE0D58" w:rsidP="004C4736">
      <w:pPr>
        <w:pStyle w:val="ListParagraph"/>
        <w:numPr>
          <w:ilvl w:val="0"/>
          <w:numId w:val="20"/>
        </w:numPr>
        <w:jc w:val="both"/>
        <w:rPr>
          <w:rFonts w:ascii="Verdana" w:hAnsi="Verdana" w:cstheme="minorHAnsi"/>
          <w:i/>
        </w:rPr>
      </w:pPr>
      <w:r w:rsidRPr="00597FF8">
        <w:rPr>
          <w:rFonts w:ascii="Verdana" w:hAnsi="Verdana" w:cstheme="minorHAnsi"/>
          <w:i/>
        </w:rPr>
        <w:t xml:space="preserve">Article 48 on the one hand and the first paragraph of Article 50 and the </w:t>
      </w:r>
      <w:r w:rsidR="00036F06" w:rsidRPr="00597FF8">
        <w:rPr>
          <w:rFonts w:ascii="Verdana" w:hAnsi="Verdana" w:cstheme="minorHAnsi"/>
          <w:i/>
        </w:rPr>
        <w:t>third</w:t>
      </w:r>
      <w:r w:rsidRPr="00597FF8">
        <w:rPr>
          <w:rFonts w:ascii="Verdana" w:hAnsi="Verdana" w:cstheme="minorHAnsi"/>
          <w:i/>
        </w:rPr>
        <w:t xml:space="preserve"> paragraph of </w:t>
      </w:r>
      <w:r w:rsidR="00036F06" w:rsidRPr="00597FF8">
        <w:rPr>
          <w:rFonts w:ascii="Verdana" w:hAnsi="Verdana" w:cstheme="minorHAnsi"/>
          <w:i/>
        </w:rPr>
        <w:t>Article</w:t>
      </w:r>
      <w:r w:rsidRPr="00597FF8">
        <w:rPr>
          <w:rFonts w:ascii="Verdana" w:hAnsi="Verdana" w:cstheme="minorHAnsi"/>
          <w:i/>
        </w:rPr>
        <w:t xml:space="preserve"> 60 of the Treaty on the other – the last two provisions at least in so far as they seek to abolish any discrimination against a person providing a service by reason of his nationality or the fact that he resides in a Member State other than that in which the service is to be provided – have a direct effect in the legal orders of the Member States and confer on individuals rights which national courts must protect</w:t>
      </w:r>
      <w:r w:rsidR="00036F06" w:rsidRPr="00597FF8">
        <w:rPr>
          <w:rFonts w:ascii="Verdana" w:hAnsi="Verdana" w:cstheme="minorHAnsi"/>
          <w:i/>
        </w:rPr>
        <w:t xml:space="preserve">”. </w:t>
      </w:r>
    </w:p>
    <w:p w:rsidR="006511A8" w:rsidRPr="00597FF8" w:rsidRDefault="006511A8" w:rsidP="004C4736">
      <w:pPr>
        <w:jc w:val="both"/>
        <w:rPr>
          <w:rFonts w:ascii="Verdana" w:hAnsi="Verdana"/>
        </w:rPr>
      </w:pPr>
    </w:p>
    <w:sectPr w:rsidR="006511A8" w:rsidRPr="00597FF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645" w:rsidRDefault="00431645" w:rsidP="0018317E">
      <w:pPr>
        <w:spacing w:after="0" w:line="240" w:lineRule="auto"/>
      </w:pPr>
      <w:r>
        <w:separator/>
      </w:r>
    </w:p>
  </w:endnote>
  <w:endnote w:type="continuationSeparator" w:id="0">
    <w:p w:rsidR="00431645" w:rsidRDefault="00431645" w:rsidP="00183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645" w:rsidRDefault="00431645" w:rsidP="0018317E">
      <w:pPr>
        <w:spacing w:after="0" w:line="240" w:lineRule="auto"/>
      </w:pPr>
      <w:r>
        <w:separator/>
      </w:r>
    </w:p>
  </w:footnote>
  <w:footnote w:type="continuationSeparator" w:id="0">
    <w:p w:rsidR="00431645" w:rsidRDefault="00431645" w:rsidP="00183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D6" w:rsidRDefault="00CC5BD6" w:rsidP="0018317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3306"/>
    <w:multiLevelType w:val="hybridMultilevel"/>
    <w:tmpl w:val="37F044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66888"/>
    <w:multiLevelType w:val="hybridMultilevel"/>
    <w:tmpl w:val="F1BC6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C24E5"/>
    <w:multiLevelType w:val="hybridMultilevel"/>
    <w:tmpl w:val="BAE47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4C04D4"/>
    <w:multiLevelType w:val="hybridMultilevel"/>
    <w:tmpl w:val="B8AC5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20667"/>
    <w:multiLevelType w:val="hybridMultilevel"/>
    <w:tmpl w:val="74740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427D0C"/>
    <w:multiLevelType w:val="hybridMultilevel"/>
    <w:tmpl w:val="04BCF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B0945"/>
    <w:multiLevelType w:val="hybridMultilevel"/>
    <w:tmpl w:val="3366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131F0"/>
    <w:multiLevelType w:val="hybridMultilevel"/>
    <w:tmpl w:val="E20A2E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0D2BCB"/>
    <w:multiLevelType w:val="hybridMultilevel"/>
    <w:tmpl w:val="74D6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411E0"/>
    <w:multiLevelType w:val="hybridMultilevel"/>
    <w:tmpl w:val="BA9EB3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B7593D"/>
    <w:multiLevelType w:val="hybridMultilevel"/>
    <w:tmpl w:val="A238C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D5D42"/>
    <w:multiLevelType w:val="hybridMultilevel"/>
    <w:tmpl w:val="0114D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333F0C"/>
    <w:multiLevelType w:val="hybridMultilevel"/>
    <w:tmpl w:val="96E4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207BF"/>
    <w:multiLevelType w:val="hybridMultilevel"/>
    <w:tmpl w:val="D20A55EE"/>
    <w:lvl w:ilvl="0" w:tplc="6BD09140">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E80A95"/>
    <w:multiLevelType w:val="hybridMultilevel"/>
    <w:tmpl w:val="6FCE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DE1016"/>
    <w:multiLevelType w:val="hybridMultilevel"/>
    <w:tmpl w:val="9D3CA2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2950C3"/>
    <w:multiLevelType w:val="hybridMultilevel"/>
    <w:tmpl w:val="F904AC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8BB26A4"/>
    <w:multiLevelType w:val="hybridMultilevel"/>
    <w:tmpl w:val="D3D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337739"/>
    <w:multiLevelType w:val="hybridMultilevel"/>
    <w:tmpl w:val="9DF41E48"/>
    <w:lvl w:ilvl="0" w:tplc="9EBC0106">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4A0E3E"/>
    <w:multiLevelType w:val="hybridMultilevel"/>
    <w:tmpl w:val="7F742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3"/>
  </w:num>
  <w:num w:numId="3">
    <w:abstractNumId w:val="12"/>
  </w:num>
  <w:num w:numId="4">
    <w:abstractNumId w:val="1"/>
  </w:num>
  <w:num w:numId="5">
    <w:abstractNumId w:val="10"/>
  </w:num>
  <w:num w:numId="6">
    <w:abstractNumId w:val="15"/>
  </w:num>
  <w:num w:numId="7">
    <w:abstractNumId w:val="7"/>
  </w:num>
  <w:num w:numId="8">
    <w:abstractNumId w:val="0"/>
  </w:num>
  <w:num w:numId="9">
    <w:abstractNumId w:val="6"/>
  </w:num>
  <w:num w:numId="10">
    <w:abstractNumId w:val="17"/>
  </w:num>
  <w:num w:numId="11">
    <w:abstractNumId w:val="8"/>
  </w:num>
  <w:num w:numId="12">
    <w:abstractNumId w:val="14"/>
  </w:num>
  <w:num w:numId="13">
    <w:abstractNumId w:val="5"/>
  </w:num>
  <w:num w:numId="14">
    <w:abstractNumId w:val="11"/>
  </w:num>
  <w:num w:numId="15">
    <w:abstractNumId w:val="9"/>
  </w:num>
  <w:num w:numId="16">
    <w:abstractNumId w:val="18"/>
  </w:num>
  <w:num w:numId="17">
    <w:abstractNumId w:val="13"/>
  </w:num>
  <w:num w:numId="18">
    <w:abstractNumId w:val="2"/>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40"/>
    <w:rsid w:val="00001B47"/>
    <w:rsid w:val="000079FA"/>
    <w:rsid w:val="00020442"/>
    <w:rsid w:val="000263D6"/>
    <w:rsid w:val="0002748D"/>
    <w:rsid w:val="00034A21"/>
    <w:rsid w:val="00036F06"/>
    <w:rsid w:val="000376DC"/>
    <w:rsid w:val="00047A11"/>
    <w:rsid w:val="000636CE"/>
    <w:rsid w:val="000670B2"/>
    <w:rsid w:val="0007066A"/>
    <w:rsid w:val="00070B40"/>
    <w:rsid w:val="000713A4"/>
    <w:rsid w:val="0007557F"/>
    <w:rsid w:val="00087844"/>
    <w:rsid w:val="000A0675"/>
    <w:rsid w:val="000B1464"/>
    <w:rsid w:val="000B3BDD"/>
    <w:rsid w:val="000F52AE"/>
    <w:rsid w:val="0011142E"/>
    <w:rsid w:val="00112A0C"/>
    <w:rsid w:val="001201A5"/>
    <w:rsid w:val="00125999"/>
    <w:rsid w:val="00126741"/>
    <w:rsid w:val="001325BB"/>
    <w:rsid w:val="0013525B"/>
    <w:rsid w:val="00144B7C"/>
    <w:rsid w:val="00163A17"/>
    <w:rsid w:val="00163EE6"/>
    <w:rsid w:val="00172167"/>
    <w:rsid w:val="0018317E"/>
    <w:rsid w:val="001B374D"/>
    <w:rsid w:val="001C08EA"/>
    <w:rsid w:val="001C6C04"/>
    <w:rsid w:val="001D0D81"/>
    <w:rsid w:val="001D7E9E"/>
    <w:rsid w:val="001F4897"/>
    <w:rsid w:val="00203C5C"/>
    <w:rsid w:val="002042B6"/>
    <w:rsid w:val="00211B07"/>
    <w:rsid w:val="00213DD4"/>
    <w:rsid w:val="002161FF"/>
    <w:rsid w:val="00223AE7"/>
    <w:rsid w:val="00237C26"/>
    <w:rsid w:val="002438B1"/>
    <w:rsid w:val="0025032B"/>
    <w:rsid w:val="002531E5"/>
    <w:rsid w:val="00263918"/>
    <w:rsid w:val="002712D0"/>
    <w:rsid w:val="002733FC"/>
    <w:rsid w:val="002A021B"/>
    <w:rsid w:val="002A2F9F"/>
    <w:rsid w:val="002C6CC4"/>
    <w:rsid w:val="00320792"/>
    <w:rsid w:val="0033226A"/>
    <w:rsid w:val="00335E0A"/>
    <w:rsid w:val="003442B8"/>
    <w:rsid w:val="00350DE2"/>
    <w:rsid w:val="00354DA1"/>
    <w:rsid w:val="003618BD"/>
    <w:rsid w:val="00363CEB"/>
    <w:rsid w:val="003750DB"/>
    <w:rsid w:val="00384735"/>
    <w:rsid w:val="00395E0B"/>
    <w:rsid w:val="003A2ABA"/>
    <w:rsid w:val="003A481A"/>
    <w:rsid w:val="003A6602"/>
    <w:rsid w:val="003B372A"/>
    <w:rsid w:val="003B3B4D"/>
    <w:rsid w:val="003B575F"/>
    <w:rsid w:val="003D32C3"/>
    <w:rsid w:val="003D4B6A"/>
    <w:rsid w:val="003E50F4"/>
    <w:rsid w:val="003F0A77"/>
    <w:rsid w:val="003F1E0D"/>
    <w:rsid w:val="003F50E5"/>
    <w:rsid w:val="004002E3"/>
    <w:rsid w:val="004126AB"/>
    <w:rsid w:val="00431645"/>
    <w:rsid w:val="00431AEF"/>
    <w:rsid w:val="00433C59"/>
    <w:rsid w:val="00434518"/>
    <w:rsid w:val="00443ACF"/>
    <w:rsid w:val="00443BA6"/>
    <w:rsid w:val="00443C5A"/>
    <w:rsid w:val="00461756"/>
    <w:rsid w:val="00490910"/>
    <w:rsid w:val="004A1CF0"/>
    <w:rsid w:val="004B4666"/>
    <w:rsid w:val="004B49A3"/>
    <w:rsid w:val="004B7D56"/>
    <w:rsid w:val="004C302D"/>
    <w:rsid w:val="004C4736"/>
    <w:rsid w:val="004E5026"/>
    <w:rsid w:val="004F6BF9"/>
    <w:rsid w:val="00504BBD"/>
    <w:rsid w:val="005175E5"/>
    <w:rsid w:val="005547BA"/>
    <w:rsid w:val="0055699A"/>
    <w:rsid w:val="00561FCE"/>
    <w:rsid w:val="00572A5F"/>
    <w:rsid w:val="0057534B"/>
    <w:rsid w:val="0059786E"/>
    <w:rsid w:val="00597FF8"/>
    <w:rsid w:val="005A1FB0"/>
    <w:rsid w:val="005B7268"/>
    <w:rsid w:val="005D67A1"/>
    <w:rsid w:val="005E6A9B"/>
    <w:rsid w:val="005F0E93"/>
    <w:rsid w:val="00610FB8"/>
    <w:rsid w:val="00614A28"/>
    <w:rsid w:val="00620791"/>
    <w:rsid w:val="00624E4A"/>
    <w:rsid w:val="00634F16"/>
    <w:rsid w:val="00636691"/>
    <w:rsid w:val="006511A8"/>
    <w:rsid w:val="00657A96"/>
    <w:rsid w:val="00676F74"/>
    <w:rsid w:val="0068735D"/>
    <w:rsid w:val="0068742E"/>
    <w:rsid w:val="006955D7"/>
    <w:rsid w:val="006D56A0"/>
    <w:rsid w:val="006D7EE2"/>
    <w:rsid w:val="006E500F"/>
    <w:rsid w:val="006F270D"/>
    <w:rsid w:val="006F435C"/>
    <w:rsid w:val="00726D70"/>
    <w:rsid w:val="007369A3"/>
    <w:rsid w:val="00746CF8"/>
    <w:rsid w:val="00750F79"/>
    <w:rsid w:val="007513DC"/>
    <w:rsid w:val="0075205B"/>
    <w:rsid w:val="00757B63"/>
    <w:rsid w:val="007610A9"/>
    <w:rsid w:val="00762B6A"/>
    <w:rsid w:val="007756C7"/>
    <w:rsid w:val="00784113"/>
    <w:rsid w:val="00796685"/>
    <w:rsid w:val="007A0A23"/>
    <w:rsid w:val="007A7457"/>
    <w:rsid w:val="007B0CD2"/>
    <w:rsid w:val="007B23C3"/>
    <w:rsid w:val="007D1473"/>
    <w:rsid w:val="007F5A4C"/>
    <w:rsid w:val="007F787E"/>
    <w:rsid w:val="00817FC4"/>
    <w:rsid w:val="00822DB9"/>
    <w:rsid w:val="00825FEB"/>
    <w:rsid w:val="008417A5"/>
    <w:rsid w:val="00842F9C"/>
    <w:rsid w:val="00862F26"/>
    <w:rsid w:val="00894F4A"/>
    <w:rsid w:val="008A7A55"/>
    <w:rsid w:val="008B7066"/>
    <w:rsid w:val="008B7239"/>
    <w:rsid w:val="008B772C"/>
    <w:rsid w:val="008C559A"/>
    <w:rsid w:val="008D42A2"/>
    <w:rsid w:val="008E2C85"/>
    <w:rsid w:val="008E5A21"/>
    <w:rsid w:val="008F15A8"/>
    <w:rsid w:val="008F2ED9"/>
    <w:rsid w:val="008F5BC2"/>
    <w:rsid w:val="00902DFA"/>
    <w:rsid w:val="00904AB3"/>
    <w:rsid w:val="00910038"/>
    <w:rsid w:val="00916F90"/>
    <w:rsid w:val="00925EB1"/>
    <w:rsid w:val="009427AC"/>
    <w:rsid w:val="009445CA"/>
    <w:rsid w:val="00956A9B"/>
    <w:rsid w:val="00964C5C"/>
    <w:rsid w:val="009A6996"/>
    <w:rsid w:val="009A6AF8"/>
    <w:rsid w:val="009C5ACD"/>
    <w:rsid w:val="009E5614"/>
    <w:rsid w:val="009E7CBE"/>
    <w:rsid w:val="00A00783"/>
    <w:rsid w:val="00A24EA3"/>
    <w:rsid w:val="00A364B1"/>
    <w:rsid w:val="00A439C4"/>
    <w:rsid w:val="00A67146"/>
    <w:rsid w:val="00A76C93"/>
    <w:rsid w:val="00A76FE5"/>
    <w:rsid w:val="00A92339"/>
    <w:rsid w:val="00A93E88"/>
    <w:rsid w:val="00A971F0"/>
    <w:rsid w:val="00AA288A"/>
    <w:rsid w:val="00AB363B"/>
    <w:rsid w:val="00AE07BA"/>
    <w:rsid w:val="00AE0D58"/>
    <w:rsid w:val="00AE5332"/>
    <w:rsid w:val="00B438C1"/>
    <w:rsid w:val="00B640BA"/>
    <w:rsid w:val="00B704E5"/>
    <w:rsid w:val="00B725A4"/>
    <w:rsid w:val="00B74C56"/>
    <w:rsid w:val="00B76C25"/>
    <w:rsid w:val="00B8324C"/>
    <w:rsid w:val="00B879DE"/>
    <w:rsid w:val="00B92A5B"/>
    <w:rsid w:val="00B942E5"/>
    <w:rsid w:val="00BA68C8"/>
    <w:rsid w:val="00BF1669"/>
    <w:rsid w:val="00BF5952"/>
    <w:rsid w:val="00C02C76"/>
    <w:rsid w:val="00C04752"/>
    <w:rsid w:val="00C2768B"/>
    <w:rsid w:val="00C7556B"/>
    <w:rsid w:val="00C7721F"/>
    <w:rsid w:val="00CC1E57"/>
    <w:rsid w:val="00CC2E5C"/>
    <w:rsid w:val="00CC5BD6"/>
    <w:rsid w:val="00D02133"/>
    <w:rsid w:val="00D03A54"/>
    <w:rsid w:val="00D136AC"/>
    <w:rsid w:val="00D50DFA"/>
    <w:rsid w:val="00D53946"/>
    <w:rsid w:val="00D646E6"/>
    <w:rsid w:val="00D70CDC"/>
    <w:rsid w:val="00D71C9D"/>
    <w:rsid w:val="00D724CE"/>
    <w:rsid w:val="00D7261F"/>
    <w:rsid w:val="00D918EA"/>
    <w:rsid w:val="00DA4864"/>
    <w:rsid w:val="00DA5A77"/>
    <w:rsid w:val="00DA6F2B"/>
    <w:rsid w:val="00DB0DFD"/>
    <w:rsid w:val="00DE4DB3"/>
    <w:rsid w:val="00DF039A"/>
    <w:rsid w:val="00DF5D62"/>
    <w:rsid w:val="00E14BC7"/>
    <w:rsid w:val="00E30897"/>
    <w:rsid w:val="00E3589D"/>
    <w:rsid w:val="00E57D8A"/>
    <w:rsid w:val="00E61D98"/>
    <w:rsid w:val="00E62229"/>
    <w:rsid w:val="00E678DB"/>
    <w:rsid w:val="00E75890"/>
    <w:rsid w:val="00EC6592"/>
    <w:rsid w:val="00EC71E6"/>
    <w:rsid w:val="00ED7DFC"/>
    <w:rsid w:val="00EE2824"/>
    <w:rsid w:val="00F001C8"/>
    <w:rsid w:val="00F12462"/>
    <w:rsid w:val="00F150FC"/>
    <w:rsid w:val="00F219AA"/>
    <w:rsid w:val="00F22F23"/>
    <w:rsid w:val="00F4304F"/>
    <w:rsid w:val="00F4570A"/>
    <w:rsid w:val="00F575F8"/>
    <w:rsid w:val="00F85DF6"/>
    <w:rsid w:val="00F93049"/>
    <w:rsid w:val="00FA0F18"/>
    <w:rsid w:val="00FA38CF"/>
    <w:rsid w:val="00FA3D36"/>
    <w:rsid w:val="00FA63B9"/>
    <w:rsid w:val="00FC2D2A"/>
    <w:rsid w:val="00FC2D6B"/>
    <w:rsid w:val="00FF1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BCA6D8-FA73-4BB2-9D1F-3A1095FE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0B4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70B40"/>
    <w:pPr>
      <w:ind w:left="720"/>
      <w:contextualSpacing/>
    </w:pPr>
  </w:style>
  <w:style w:type="paragraph" w:styleId="NoSpacing">
    <w:name w:val="No Spacing"/>
    <w:uiPriority w:val="1"/>
    <w:qFormat/>
    <w:rsid w:val="00D70CDC"/>
    <w:pPr>
      <w:spacing w:after="0" w:line="240" w:lineRule="auto"/>
    </w:pPr>
  </w:style>
  <w:style w:type="paragraph" w:styleId="Header">
    <w:name w:val="header"/>
    <w:basedOn w:val="Normal"/>
    <w:link w:val="HeaderChar"/>
    <w:uiPriority w:val="99"/>
    <w:unhideWhenUsed/>
    <w:rsid w:val="00183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17E"/>
  </w:style>
  <w:style w:type="paragraph" w:styleId="Footer">
    <w:name w:val="footer"/>
    <w:basedOn w:val="Normal"/>
    <w:link w:val="FooterChar"/>
    <w:uiPriority w:val="99"/>
    <w:unhideWhenUsed/>
    <w:rsid w:val="00183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17E"/>
  </w:style>
  <w:style w:type="paragraph" w:styleId="BalloonText">
    <w:name w:val="Balloon Text"/>
    <w:basedOn w:val="Normal"/>
    <w:link w:val="BalloonTextChar"/>
    <w:uiPriority w:val="99"/>
    <w:semiHidden/>
    <w:unhideWhenUsed/>
    <w:rsid w:val="00DA4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864"/>
    <w:rPr>
      <w:rFonts w:ascii="Tahoma" w:hAnsi="Tahoma" w:cs="Tahoma"/>
      <w:sz w:val="16"/>
      <w:szCs w:val="16"/>
    </w:rPr>
  </w:style>
  <w:style w:type="paragraph" w:styleId="FootnoteText">
    <w:name w:val="footnote text"/>
    <w:basedOn w:val="Normal"/>
    <w:link w:val="FootnoteTextChar"/>
    <w:uiPriority w:val="99"/>
    <w:semiHidden/>
    <w:unhideWhenUsed/>
    <w:rsid w:val="00CC1E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1E57"/>
    <w:rPr>
      <w:sz w:val="20"/>
      <w:szCs w:val="20"/>
    </w:rPr>
  </w:style>
  <w:style w:type="character" w:styleId="FootnoteReference">
    <w:name w:val="footnote reference"/>
    <w:basedOn w:val="DefaultParagraphFont"/>
    <w:uiPriority w:val="99"/>
    <w:semiHidden/>
    <w:unhideWhenUsed/>
    <w:rsid w:val="00CC1E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FDD09-DD76-4FB8-B43F-846C54A28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London2012</dc:creator>
  <cp:lastModifiedBy>Roxana Weich</cp:lastModifiedBy>
  <cp:revision>31</cp:revision>
  <cp:lastPrinted>2013-01-14T15:36:00Z</cp:lastPrinted>
  <dcterms:created xsi:type="dcterms:W3CDTF">2018-05-11T13:50:00Z</dcterms:created>
  <dcterms:modified xsi:type="dcterms:W3CDTF">2018-06-14T09:24:00Z</dcterms:modified>
</cp:coreProperties>
</file>