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BFE" w:rsidRDefault="007D2411" w:rsidP="00EB5BFE">
      <w:pPr>
        <w:spacing w:before="88"/>
        <w:ind w:right="1023"/>
        <w:jc w:val="right"/>
        <w:rPr>
          <w:sz w:val="18"/>
          <w:lang w:val="cs-CZ"/>
        </w:rPr>
      </w:pPr>
      <w:r w:rsidRPr="00EB5BFE">
        <w:rPr>
          <w:sz w:val="18"/>
          <w:lang w:val="cs-CZ"/>
        </w:rPr>
        <w:t xml:space="preserve">Rozhodnutí Národního antidopingového panelu (červenec 2012) </w:t>
      </w:r>
      <w:r w:rsidR="00063B0C" w:rsidRPr="00EB5BFE">
        <w:rPr>
          <w:sz w:val="18"/>
          <w:lang w:val="cs-CZ"/>
        </w:rPr>
        <w:t xml:space="preserve"> </w:t>
      </w:r>
    </w:p>
    <w:p w:rsidR="00DC0E25" w:rsidRPr="00EB5BFE" w:rsidRDefault="00063B0C" w:rsidP="00EB5BFE">
      <w:pPr>
        <w:spacing w:before="88"/>
        <w:ind w:right="1023"/>
        <w:jc w:val="right"/>
        <w:rPr>
          <w:sz w:val="18"/>
          <w:lang w:val="cs-CZ"/>
        </w:rPr>
      </w:pPr>
      <w:r w:rsidRPr="00EB5BFE">
        <w:rPr>
          <w:sz w:val="18"/>
          <w:lang w:val="cs-CZ"/>
        </w:rPr>
        <w:t xml:space="preserve">UK Anti-Doping v </w:t>
      </w:r>
      <w:r w:rsidR="007D2411" w:rsidRPr="00EB5BFE">
        <w:rPr>
          <w:sz w:val="18"/>
          <w:lang w:val="cs-CZ"/>
        </w:rPr>
        <w:t xml:space="preserve">Hráč A </w:t>
      </w:r>
      <w:proofErr w:type="spellStart"/>
      <w:r w:rsidR="007D2411" w:rsidRPr="00EB5BFE">
        <w:rPr>
          <w:sz w:val="18"/>
          <w:lang w:val="cs-CZ"/>
        </w:rPr>
        <w:t>a</w:t>
      </w:r>
      <w:proofErr w:type="spellEnd"/>
      <w:r w:rsidR="007D2411" w:rsidRPr="00EB5BFE">
        <w:rPr>
          <w:sz w:val="18"/>
          <w:lang w:val="cs-CZ"/>
        </w:rPr>
        <w:t xml:space="preserve"> Hráč B </w:t>
      </w:r>
    </w:p>
    <w:p w:rsidR="00DC0E25" w:rsidRPr="00EB5BFE" w:rsidRDefault="00DC0E25">
      <w:pPr>
        <w:pStyle w:val="Zkladntext"/>
        <w:rPr>
          <w:sz w:val="20"/>
          <w:lang w:val="cs-CZ"/>
        </w:rPr>
      </w:pPr>
    </w:p>
    <w:p w:rsidR="00DC0E25" w:rsidRPr="00EB5BFE" w:rsidRDefault="00DC0E25">
      <w:pPr>
        <w:pStyle w:val="Zkladntext"/>
        <w:rPr>
          <w:sz w:val="20"/>
          <w:lang w:val="cs-CZ"/>
        </w:rPr>
      </w:pPr>
    </w:p>
    <w:p w:rsidR="00DC0E25" w:rsidRPr="00EB5BFE" w:rsidRDefault="00DC0E25">
      <w:pPr>
        <w:pStyle w:val="Zkladntext"/>
        <w:rPr>
          <w:sz w:val="20"/>
          <w:lang w:val="cs-CZ"/>
        </w:rPr>
      </w:pPr>
    </w:p>
    <w:p w:rsidR="00DC0E25" w:rsidRPr="00EB5BFE" w:rsidRDefault="00DC0E25">
      <w:pPr>
        <w:pStyle w:val="Zkladntext"/>
        <w:spacing w:before="9"/>
        <w:rPr>
          <w:sz w:val="18"/>
          <w:lang w:val="cs-CZ"/>
        </w:rPr>
      </w:pPr>
    </w:p>
    <w:p w:rsidR="00DC0E25" w:rsidRPr="00EB5BFE" w:rsidRDefault="00D76447">
      <w:pPr>
        <w:spacing w:before="101"/>
        <w:ind w:left="1872"/>
        <w:rPr>
          <w:b/>
          <w:sz w:val="28"/>
          <w:lang w:val="cs-CZ"/>
        </w:rPr>
      </w:pPr>
      <w:r w:rsidRPr="00EB5BFE">
        <w:rPr>
          <w:b/>
          <w:sz w:val="28"/>
          <w:lang w:val="cs-CZ"/>
        </w:rPr>
        <w:t xml:space="preserve">Případ č. 10 – Přítomnost a Podvádění </w:t>
      </w:r>
    </w:p>
    <w:p w:rsidR="00DC0E25" w:rsidRPr="00EB5BFE" w:rsidRDefault="00DC0E25">
      <w:pPr>
        <w:pStyle w:val="Zkladntext"/>
        <w:rPr>
          <w:b/>
          <w:sz w:val="20"/>
          <w:lang w:val="cs-CZ"/>
        </w:rPr>
      </w:pPr>
    </w:p>
    <w:p w:rsidR="00DC0E25" w:rsidRPr="00EB5BFE" w:rsidRDefault="00DC0E25">
      <w:pPr>
        <w:pStyle w:val="Zkladntext"/>
        <w:rPr>
          <w:b/>
          <w:sz w:val="20"/>
          <w:lang w:val="cs-CZ"/>
        </w:rPr>
      </w:pPr>
    </w:p>
    <w:p w:rsidR="00DC0E25" w:rsidRPr="00EB5BFE" w:rsidRDefault="00DC0E25">
      <w:pPr>
        <w:pStyle w:val="Zkladntext"/>
        <w:rPr>
          <w:b/>
          <w:sz w:val="20"/>
          <w:lang w:val="cs-CZ"/>
        </w:rPr>
      </w:pPr>
    </w:p>
    <w:p w:rsidR="00DC0E25" w:rsidRPr="00EB5BFE" w:rsidRDefault="00DC0E25">
      <w:pPr>
        <w:pStyle w:val="Zkladntext"/>
        <w:spacing w:before="1"/>
        <w:rPr>
          <w:b/>
          <w:sz w:val="18"/>
          <w:lang w:val="cs-CZ"/>
        </w:rPr>
      </w:pPr>
    </w:p>
    <w:p w:rsidR="00DC0E25" w:rsidRPr="00EB5BFE" w:rsidRDefault="00D76447">
      <w:pPr>
        <w:pStyle w:val="Nadpis1"/>
        <w:spacing w:before="101"/>
        <w:rPr>
          <w:lang w:val="cs-CZ"/>
        </w:rPr>
      </w:pPr>
      <w:r w:rsidRPr="00EB5BFE">
        <w:rPr>
          <w:lang w:val="cs-CZ"/>
        </w:rPr>
        <w:t xml:space="preserve">Klíčová slova </w:t>
      </w:r>
    </w:p>
    <w:p w:rsidR="00DC0E25" w:rsidRPr="00EB5BFE" w:rsidRDefault="00DC0E25">
      <w:pPr>
        <w:pStyle w:val="Zkladntext"/>
        <w:spacing w:before="9"/>
        <w:rPr>
          <w:b/>
          <w:sz w:val="30"/>
          <w:lang w:val="cs-CZ"/>
        </w:rPr>
      </w:pPr>
    </w:p>
    <w:p w:rsidR="00DC0E25" w:rsidRPr="00EB5BFE" w:rsidRDefault="00D76447">
      <w:pPr>
        <w:spacing w:line="360" w:lineRule="auto"/>
        <w:ind w:left="120" w:right="1038"/>
        <w:jc w:val="both"/>
        <w:rPr>
          <w:i/>
          <w:lang w:val="cs-CZ"/>
        </w:rPr>
      </w:pPr>
      <w:r w:rsidRPr="00EB5BFE">
        <w:rPr>
          <w:i/>
          <w:lang w:val="cs-CZ"/>
        </w:rPr>
        <w:t xml:space="preserve">Článek </w:t>
      </w:r>
      <w:r w:rsidR="00063B0C" w:rsidRPr="00EB5BFE">
        <w:rPr>
          <w:i/>
          <w:lang w:val="cs-CZ"/>
        </w:rPr>
        <w:t xml:space="preserve">2.1; </w:t>
      </w:r>
      <w:r w:rsidRPr="00EB5BFE">
        <w:rPr>
          <w:i/>
          <w:lang w:val="cs-CZ"/>
        </w:rPr>
        <w:t xml:space="preserve">Článek </w:t>
      </w:r>
      <w:r w:rsidR="00063B0C" w:rsidRPr="00EB5BFE">
        <w:rPr>
          <w:i/>
          <w:lang w:val="cs-CZ"/>
        </w:rPr>
        <w:t xml:space="preserve">2.5; </w:t>
      </w:r>
      <w:r w:rsidRPr="00EB5BFE">
        <w:rPr>
          <w:i/>
          <w:lang w:val="cs-CZ"/>
        </w:rPr>
        <w:t xml:space="preserve">Podvádění nebo Pokus o podvádění; Odběr vzorku; Přiznání; Článek 10.5.4; Článek 10.6; Cannabis; Dvojník; </w:t>
      </w:r>
      <w:r w:rsidR="007D2411">
        <w:rPr>
          <w:i/>
          <w:lang w:val="cs-CZ"/>
        </w:rPr>
        <w:t>Vydávání se za někoho</w:t>
      </w:r>
      <w:r w:rsidRPr="00EB5BFE">
        <w:rPr>
          <w:i/>
          <w:lang w:val="cs-CZ"/>
        </w:rPr>
        <w:t>;</w:t>
      </w:r>
      <w:r w:rsidR="00063B0C" w:rsidRPr="00EB5BFE">
        <w:rPr>
          <w:i/>
          <w:spacing w:val="-7"/>
          <w:lang w:val="cs-CZ"/>
        </w:rPr>
        <w:t xml:space="preserve"> </w:t>
      </w:r>
      <w:r w:rsidR="00063B0C" w:rsidRPr="00EB5BFE">
        <w:rPr>
          <w:i/>
          <w:color w:val="0070C0"/>
          <w:lang w:val="cs-CZ"/>
        </w:rPr>
        <w:t>Doping</w:t>
      </w:r>
    </w:p>
    <w:p w:rsidR="00DC0E25" w:rsidRPr="00EB5BFE" w:rsidRDefault="00DC0E25">
      <w:pPr>
        <w:pStyle w:val="Zkladntext"/>
        <w:rPr>
          <w:i/>
          <w:sz w:val="26"/>
          <w:lang w:val="cs-CZ"/>
        </w:rPr>
      </w:pPr>
    </w:p>
    <w:p w:rsidR="00DC0E25" w:rsidRPr="00EB5BFE" w:rsidRDefault="00DC0E25">
      <w:pPr>
        <w:pStyle w:val="Zkladntext"/>
        <w:rPr>
          <w:i/>
          <w:sz w:val="26"/>
          <w:lang w:val="cs-CZ"/>
        </w:rPr>
      </w:pPr>
    </w:p>
    <w:p w:rsidR="00DC0E25" w:rsidRPr="00EB5BFE" w:rsidRDefault="00DC0E25">
      <w:pPr>
        <w:pStyle w:val="Zkladntext"/>
        <w:spacing w:before="5"/>
        <w:rPr>
          <w:i/>
          <w:sz w:val="20"/>
          <w:lang w:val="cs-CZ"/>
        </w:rPr>
      </w:pPr>
    </w:p>
    <w:p w:rsidR="00DC0E25" w:rsidRPr="00EB5BFE" w:rsidRDefault="00D76447">
      <w:pPr>
        <w:pStyle w:val="Nadpis1"/>
        <w:rPr>
          <w:lang w:val="cs-CZ"/>
        </w:rPr>
      </w:pPr>
      <w:r w:rsidRPr="00EB5BFE">
        <w:rPr>
          <w:lang w:val="cs-CZ"/>
        </w:rPr>
        <w:t xml:space="preserve">Shrnutí </w:t>
      </w:r>
    </w:p>
    <w:p w:rsidR="00DC0E25" w:rsidRPr="00EB5BFE" w:rsidRDefault="00DC0E25">
      <w:pPr>
        <w:pStyle w:val="Zkladntext"/>
        <w:spacing w:before="8"/>
        <w:rPr>
          <w:b/>
          <w:sz w:val="30"/>
          <w:lang w:val="cs-CZ"/>
        </w:rPr>
      </w:pPr>
    </w:p>
    <w:p w:rsidR="00D76447" w:rsidRPr="00EB5BFE" w:rsidRDefault="00D76447">
      <w:pPr>
        <w:pStyle w:val="Zkladntext"/>
        <w:spacing w:before="1" w:line="362" w:lineRule="auto"/>
        <w:ind w:left="120" w:right="1035" w:hanging="1"/>
        <w:jc w:val="both"/>
        <w:rPr>
          <w:lang w:val="cs-CZ"/>
        </w:rPr>
      </w:pPr>
      <w:r w:rsidRPr="00EB5BFE">
        <w:rPr>
          <w:lang w:val="cs-CZ"/>
        </w:rPr>
        <w:t xml:space="preserve">Hráč A byl obviněn z porušení dopingových pravidel dle Článku 2.1 za pozitivní laboratorní nález na přítomnost </w:t>
      </w:r>
      <w:r w:rsidRPr="00600335">
        <w:rPr>
          <w:highlight w:val="yellow"/>
          <w:lang w:val="cs-CZ"/>
        </w:rPr>
        <w:t>cannabis</w:t>
      </w:r>
      <w:r w:rsidR="007D2411">
        <w:rPr>
          <w:lang w:val="cs-CZ"/>
        </w:rPr>
        <w:t>,</w:t>
      </w:r>
      <w:r w:rsidRPr="00EB5BFE">
        <w:rPr>
          <w:lang w:val="cs-CZ"/>
        </w:rPr>
        <w:t xml:space="preserve"> a dle Článku 2.5 za podvádění nebo pokus o podvádění v souvislosti s odběrem jeho vzorku. Hráč B byl obviněn z porušení dopingových pravidel dle Článku 2.5 za podvádění nebo pokus o podvádění v souvislosti s odběrem vzorku Hráči A. </w:t>
      </w:r>
      <w:r w:rsidRPr="007D2411">
        <w:rPr>
          <w:lang w:val="cs-CZ"/>
        </w:rPr>
        <w:t xml:space="preserve">Podle dopingových pravidel UKAD, schválených organizací </w:t>
      </w:r>
      <w:proofErr w:type="spellStart"/>
      <w:r w:rsidRPr="00600335">
        <w:rPr>
          <w:highlight w:val="yellow"/>
          <w:lang w:val="cs-CZ"/>
        </w:rPr>
        <w:t>England</w:t>
      </w:r>
      <w:proofErr w:type="spellEnd"/>
      <w:r w:rsidRPr="00600335">
        <w:rPr>
          <w:highlight w:val="yellow"/>
          <w:lang w:val="cs-CZ"/>
        </w:rPr>
        <w:t xml:space="preserve"> Basketball</w:t>
      </w:r>
      <w:r w:rsidRPr="007D2411">
        <w:rPr>
          <w:lang w:val="cs-CZ"/>
        </w:rPr>
        <w:t xml:space="preserve">, byly případy předány Národnímu </w:t>
      </w:r>
      <w:r w:rsidR="007D2411">
        <w:rPr>
          <w:lang w:val="cs-CZ"/>
        </w:rPr>
        <w:t>anti</w:t>
      </w:r>
      <w:r w:rsidRPr="007D2411">
        <w:rPr>
          <w:lang w:val="cs-CZ"/>
        </w:rPr>
        <w:t xml:space="preserve">dopingovému panelu. Na základě dohody </w:t>
      </w:r>
      <w:r w:rsidR="007D2411">
        <w:rPr>
          <w:lang w:val="cs-CZ"/>
        </w:rPr>
        <w:t>proběhla konsolidace</w:t>
      </w:r>
      <w:r w:rsidRPr="007D2411">
        <w:rPr>
          <w:lang w:val="cs-CZ"/>
        </w:rPr>
        <w:t xml:space="preserve"> </w:t>
      </w:r>
      <w:r w:rsidR="007D2411">
        <w:rPr>
          <w:lang w:val="cs-CZ"/>
        </w:rPr>
        <w:t xml:space="preserve">ke společnému projednání. </w:t>
      </w:r>
    </w:p>
    <w:p w:rsidR="00DC0E25" w:rsidRPr="00EB5BFE" w:rsidRDefault="00DC0E25">
      <w:pPr>
        <w:pStyle w:val="Zkladntext"/>
        <w:spacing w:before="3"/>
        <w:rPr>
          <w:sz w:val="19"/>
          <w:lang w:val="cs-CZ"/>
        </w:rPr>
      </w:pPr>
    </w:p>
    <w:p w:rsidR="00DC0E25" w:rsidRPr="00EB5BFE" w:rsidRDefault="00D76447" w:rsidP="00EB5BFE">
      <w:pPr>
        <w:pStyle w:val="Zkladntext"/>
        <w:spacing w:line="360" w:lineRule="auto"/>
        <w:ind w:left="120" w:right="1037"/>
        <w:jc w:val="both"/>
        <w:rPr>
          <w:sz w:val="26"/>
          <w:lang w:val="cs-CZ"/>
        </w:rPr>
      </w:pPr>
      <w:r w:rsidRPr="00EB5BFE">
        <w:rPr>
          <w:lang w:val="cs-CZ"/>
        </w:rPr>
        <w:t xml:space="preserve">Soud zjistil, že Hráč A nebyl registrovaným členem teamu, hrál jako dvojník, přičemž se vydával za Hráče C. Hráči A byl proto stanoven zákaz činnosti na období dvou let. </w:t>
      </w:r>
      <w:r w:rsidR="00253E66" w:rsidRPr="00EB5BFE">
        <w:rPr>
          <w:lang w:val="cs-CZ"/>
        </w:rPr>
        <w:t xml:space="preserve">Soud naznal, že Hráč B vědomě a nesprávně identifikoval Hráče A jako Hráče C, a stanovil zákaz činnosti na období jednoho roku. </w:t>
      </w:r>
    </w:p>
    <w:p w:rsidR="00DC0E25" w:rsidRPr="00EB5BFE" w:rsidRDefault="00DC0E25">
      <w:pPr>
        <w:pStyle w:val="Zkladntext"/>
        <w:rPr>
          <w:sz w:val="26"/>
          <w:lang w:val="cs-CZ"/>
        </w:rPr>
      </w:pPr>
    </w:p>
    <w:p w:rsidR="00DC0E25" w:rsidRPr="00EB5BFE" w:rsidRDefault="00DC0E25">
      <w:pPr>
        <w:pStyle w:val="Zkladntext"/>
        <w:spacing w:before="7"/>
        <w:rPr>
          <w:sz w:val="20"/>
          <w:lang w:val="cs-CZ"/>
        </w:rPr>
      </w:pPr>
    </w:p>
    <w:p w:rsidR="00DC0E25" w:rsidRPr="00EB5BFE" w:rsidRDefault="00D66D24">
      <w:pPr>
        <w:pStyle w:val="Nadpis1"/>
        <w:rPr>
          <w:lang w:val="cs-CZ"/>
        </w:rPr>
      </w:pPr>
      <w:r w:rsidRPr="00EB5BFE">
        <w:rPr>
          <w:lang w:val="cs-CZ"/>
        </w:rPr>
        <w:t xml:space="preserve">Kontext </w:t>
      </w:r>
    </w:p>
    <w:p w:rsidR="00DC0E25" w:rsidRPr="00EB5BFE" w:rsidRDefault="00DC0E25">
      <w:pPr>
        <w:pStyle w:val="Zkladntext"/>
        <w:spacing w:before="9"/>
        <w:rPr>
          <w:b/>
          <w:sz w:val="30"/>
          <w:lang w:val="cs-CZ"/>
        </w:rPr>
      </w:pPr>
    </w:p>
    <w:p w:rsidR="00D66D24" w:rsidRPr="00EB5BFE" w:rsidRDefault="00D66D24">
      <w:pPr>
        <w:pStyle w:val="Zkladntext"/>
        <w:spacing w:line="360" w:lineRule="auto"/>
        <w:ind w:left="120" w:right="1037"/>
        <w:jc w:val="both"/>
        <w:rPr>
          <w:lang w:val="cs-CZ"/>
        </w:rPr>
      </w:pPr>
      <w:r w:rsidRPr="00EB5BFE">
        <w:rPr>
          <w:lang w:val="cs-CZ"/>
        </w:rPr>
        <w:t xml:space="preserve">Hráč B byl kapitánem basketbalového klubu B a v příslušný den zastával funkci zástupce klubu, jelikož trenér byl nemocný. Hráč A byl registrován ke hře v jiném klubu, ale v hrál v daném zápase za basketbalový klub B pod jménem Hráče C, registrovaného hráče </w:t>
      </w:r>
      <w:r w:rsidR="00FD3D7D" w:rsidRPr="00EB5BFE">
        <w:rPr>
          <w:lang w:val="cs-CZ"/>
        </w:rPr>
        <w:t xml:space="preserve">basketbalového klubu B. Když byl </w:t>
      </w:r>
      <w:r w:rsidR="007D2411" w:rsidRPr="006E03CE">
        <w:rPr>
          <w:lang w:val="cs-CZ"/>
        </w:rPr>
        <w:t>Hráč C</w:t>
      </w:r>
      <w:r w:rsidR="007D2411" w:rsidRPr="007D2411">
        <w:rPr>
          <w:lang w:val="cs-CZ"/>
        </w:rPr>
        <w:t xml:space="preserve"> </w:t>
      </w:r>
      <w:r w:rsidR="007D2411" w:rsidRPr="004F4F75">
        <w:rPr>
          <w:lang w:val="cs-CZ"/>
        </w:rPr>
        <w:t>vybrán k testování</w:t>
      </w:r>
      <w:r w:rsidR="00FD3D7D" w:rsidRPr="00EB5BFE">
        <w:rPr>
          <w:lang w:val="cs-CZ"/>
        </w:rPr>
        <w:t xml:space="preserve">, </w:t>
      </w:r>
      <w:r w:rsidR="007D2411">
        <w:rPr>
          <w:lang w:val="cs-CZ"/>
        </w:rPr>
        <w:t xml:space="preserve">na zkoušku přišel </w:t>
      </w:r>
      <w:r w:rsidR="00FD3D7D" w:rsidRPr="00EB5BFE">
        <w:rPr>
          <w:lang w:val="cs-CZ"/>
        </w:rPr>
        <w:t xml:space="preserve">Hráč A. Jelikož neměl identifikaci, Hráč B ho vědomě a nesprávně označil za Hráče C. </w:t>
      </w:r>
      <w:r w:rsidRPr="00EB5BFE">
        <w:rPr>
          <w:lang w:val="cs-CZ"/>
        </w:rPr>
        <w:t xml:space="preserve"> </w:t>
      </w:r>
    </w:p>
    <w:p w:rsidR="00DC0E25" w:rsidRPr="00EB5BFE" w:rsidRDefault="00DC0E25">
      <w:pPr>
        <w:pStyle w:val="Zkladntext"/>
        <w:spacing w:before="81" w:line="360" w:lineRule="auto"/>
        <w:ind w:left="120" w:right="1038"/>
        <w:jc w:val="both"/>
        <w:rPr>
          <w:lang w:val="cs-CZ"/>
        </w:rPr>
      </w:pPr>
    </w:p>
    <w:p w:rsidR="00DC0E25" w:rsidRPr="00EB5BFE" w:rsidRDefault="00DC0E25">
      <w:pPr>
        <w:pStyle w:val="Zkladntext"/>
        <w:rPr>
          <w:sz w:val="26"/>
          <w:lang w:val="cs-CZ"/>
        </w:rPr>
      </w:pPr>
    </w:p>
    <w:p w:rsidR="00DC0E25" w:rsidRPr="00EB5BFE" w:rsidRDefault="00DC0E25">
      <w:pPr>
        <w:pStyle w:val="Zkladntext"/>
        <w:rPr>
          <w:sz w:val="26"/>
          <w:lang w:val="cs-CZ"/>
        </w:rPr>
      </w:pPr>
    </w:p>
    <w:p w:rsidR="00DC0E25" w:rsidRPr="00EB5BFE" w:rsidRDefault="00DC0E25">
      <w:pPr>
        <w:pStyle w:val="Zkladntext"/>
        <w:spacing w:before="5"/>
        <w:rPr>
          <w:sz w:val="20"/>
          <w:lang w:val="cs-CZ"/>
        </w:rPr>
      </w:pPr>
    </w:p>
    <w:p w:rsidR="00DC0E25" w:rsidRPr="00EB5BFE" w:rsidRDefault="0061551D">
      <w:pPr>
        <w:pStyle w:val="Nadpis1"/>
        <w:rPr>
          <w:lang w:val="cs-CZ"/>
        </w:rPr>
      </w:pPr>
      <w:r w:rsidRPr="00EB5BFE">
        <w:rPr>
          <w:lang w:val="cs-CZ"/>
        </w:rPr>
        <w:t xml:space="preserve">Zdůvodnění a rozhodnutí soudu </w:t>
      </w:r>
    </w:p>
    <w:p w:rsidR="00DC0E25" w:rsidRPr="00EB5BFE" w:rsidRDefault="00DC0E25">
      <w:pPr>
        <w:pStyle w:val="Zkladntext"/>
        <w:spacing w:before="9"/>
        <w:rPr>
          <w:b/>
          <w:sz w:val="30"/>
          <w:lang w:val="cs-CZ"/>
        </w:rPr>
      </w:pPr>
    </w:p>
    <w:p w:rsidR="00F635CA" w:rsidRPr="00EB5BFE" w:rsidRDefault="00F635CA">
      <w:pPr>
        <w:pStyle w:val="Zkladntext"/>
        <w:spacing w:line="360" w:lineRule="auto"/>
        <w:ind w:left="119" w:right="1037"/>
        <w:jc w:val="both"/>
        <w:rPr>
          <w:lang w:val="cs-CZ"/>
        </w:rPr>
      </w:pPr>
      <w:r w:rsidRPr="00EB5BFE">
        <w:rPr>
          <w:lang w:val="cs-CZ"/>
        </w:rPr>
        <w:t xml:space="preserve">Hráč A přijal obvinění z přítomnosti látky a odmítnul obvinění z podvádění, ale nepředložil žádné písemné podání ani se nezúčastnil slyšení. </w:t>
      </w:r>
      <w:r w:rsidR="000E262C" w:rsidRPr="00EB5BFE">
        <w:rPr>
          <w:lang w:val="cs-CZ"/>
        </w:rPr>
        <w:t>Soud posoudil, zda porušení v</w:t>
      </w:r>
      <w:r w:rsidR="007D2411">
        <w:rPr>
          <w:lang w:val="cs-CZ"/>
        </w:rPr>
        <w:t>í</w:t>
      </w:r>
      <w:r w:rsidR="000E262C" w:rsidRPr="00EB5BFE">
        <w:rPr>
          <w:lang w:val="cs-CZ"/>
        </w:rPr>
        <w:t>cero antidopingových pravidel představuje přitěžující okolnosti podle Článku 10.6, ale rozhodl se neuplatnit svou pravomoc prodloužit zákaz činnosti, jelikož Hráč A byl</w:t>
      </w:r>
      <w:r w:rsidR="007D2411">
        <w:rPr>
          <w:lang w:val="cs-CZ"/>
        </w:rPr>
        <w:t xml:space="preserve"> ještě</w:t>
      </w:r>
      <w:r w:rsidR="000E262C" w:rsidRPr="00EB5BFE">
        <w:rPr>
          <w:lang w:val="cs-CZ"/>
        </w:rPr>
        <w:t xml:space="preserve"> mladý</w:t>
      </w:r>
      <w:r w:rsidR="00EB5BFE">
        <w:rPr>
          <w:lang w:val="cs-CZ"/>
        </w:rPr>
        <w:t xml:space="preserve"> a</w:t>
      </w:r>
      <w:r w:rsidR="007D2411">
        <w:rPr>
          <w:lang w:val="cs-CZ"/>
        </w:rPr>
        <w:t xml:space="preserve"> nejednalo se o</w:t>
      </w:r>
      <w:r w:rsidR="000E262C" w:rsidRPr="00EB5BFE">
        <w:rPr>
          <w:lang w:val="cs-CZ"/>
        </w:rPr>
        <w:t xml:space="preserve"> zkušen</w:t>
      </w:r>
      <w:r w:rsidR="007D2411">
        <w:rPr>
          <w:lang w:val="cs-CZ"/>
        </w:rPr>
        <w:t xml:space="preserve">ého </w:t>
      </w:r>
      <w:r w:rsidR="000E262C" w:rsidRPr="00EB5BFE">
        <w:rPr>
          <w:lang w:val="cs-CZ"/>
        </w:rPr>
        <w:t>nebo bohat</w:t>
      </w:r>
      <w:r w:rsidR="007D2411">
        <w:rPr>
          <w:lang w:val="cs-CZ"/>
        </w:rPr>
        <w:t>ého</w:t>
      </w:r>
      <w:r w:rsidR="000E262C" w:rsidRPr="00EB5BFE">
        <w:rPr>
          <w:lang w:val="cs-CZ"/>
        </w:rPr>
        <w:t xml:space="preserve"> muže zapojen</w:t>
      </w:r>
      <w:r w:rsidR="007D2411">
        <w:rPr>
          <w:lang w:val="cs-CZ"/>
        </w:rPr>
        <w:t xml:space="preserve">ého do </w:t>
      </w:r>
      <w:r w:rsidR="000E262C" w:rsidRPr="00EB5BFE">
        <w:rPr>
          <w:lang w:val="cs-CZ"/>
        </w:rPr>
        <w:t xml:space="preserve">profesionálnímu sportu. </w:t>
      </w:r>
      <w:r w:rsidR="007D2411">
        <w:rPr>
          <w:lang w:val="cs-CZ"/>
        </w:rPr>
        <w:t>S</w:t>
      </w:r>
      <w:r w:rsidR="000E262C" w:rsidRPr="00EB5BFE">
        <w:rPr>
          <w:lang w:val="cs-CZ"/>
        </w:rPr>
        <w:t xml:space="preserve"> přihlédnutím</w:t>
      </w:r>
      <w:r w:rsidR="007D2411">
        <w:rPr>
          <w:lang w:val="cs-CZ"/>
        </w:rPr>
        <w:t xml:space="preserve"> k výše uvedeným důvodům </w:t>
      </w:r>
      <w:r w:rsidR="000E262C" w:rsidRPr="00EB5BFE">
        <w:rPr>
          <w:lang w:val="cs-CZ"/>
        </w:rPr>
        <w:t xml:space="preserve">stanovil soud zákaz činnosti na období dvou let. </w:t>
      </w:r>
    </w:p>
    <w:p w:rsidR="00DC0E25" w:rsidRPr="00EB5BFE" w:rsidRDefault="00DC0E25">
      <w:pPr>
        <w:pStyle w:val="Zkladntext"/>
        <w:spacing w:before="9"/>
        <w:rPr>
          <w:sz w:val="19"/>
          <w:lang w:val="cs-CZ"/>
        </w:rPr>
      </w:pPr>
    </w:p>
    <w:p w:rsidR="00C81978" w:rsidRPr="00EB5BFE" w:rsidRDefault="00BE7E25">
      <w:pPr>
        <w:pStyle w:val="Zkladntext"/>
        <w:spacing w:line="360" w:lineRule="auto"/>
        <w:ind w:left="120" w:right="1038"/>
        <w:jc w:val="both"/>
        <w:rPr>
          <w:lang w:val="cs-CZ"/>
        </w:rPr>
      </w:pPr>
      <w:r w:rsidRPr="00600335">
        <w:rPr>
          <w:highlight w:val="yellow"/>
          <w:lang w:val="cs-CZ"/>
        </w:rPr>
        <w:t xml:space="preserve">Soud </w:t>
      </w:r>
      <w:r w:rsidR="007D2411" w:rsidRPr="00600335">
        <w:rPr>
          <w:highlight w:val="yellow"/>
          <w:lang w:val="cs-CZ"/>
        </w:rPr>
        <w:t>došel k závěru</w:t>
      </w:r>
      <w:r w:rsidR="00C81978" w:rsidRPr="00600335">
        <w:rPr>
          <w:highlight w:val="yellow"/>
          <w:lang w:val="cs-CZ"/>
        </w:rPr>
        <w:t>, že Hráč B dobrovolně přiznal svůj podíl na porušení dopingových pravidel ještě předtím, než byl obviněn, a že přiznání představovalo jediný spolehlivý důkaz porušení pravidel v okamžiku, kdy bylo učiněno</w:t>
      </w:r>
      <w:r w:rsidR="00C81978" w:rsidRPr="00EB5BFE">
        <w:rPr>
          <w:lang w:val="cs-CZ"/>
        </w:rPr>
        <w:t>. Soud proto použil Článek 10.5.4 a stanovil Hráči B zákaz činnosti na období jednoho roku s přihlédnutím k následujícímu: jednání Hráče B bylo spíše</w:t>
      </w:r>
      <w:r w:rsidR="007D2411">
        <w:rPr>
          <w:lang w:val="cs-CZ"/>
        </w:rPr>
        <w:t xml:space="preserve"> nepromyšlené a</w:t>
      </w:r>
      <w:r w:rsidR="00C81978" w:rsidRPr="00EB5BFE">
        <w:rPr>
          <w:lang w:val="cs-CZ"/>
        </w:rPr>
        <w:t xml:space="preserve"> neuvážené než se zlým úmyslem; nevěděl, že Hráč A nedávno užil cannabis; nacházel se v nezvyklé a stresující situaci, kdy musel zastupovat svůj team, jelikož trenér dorazil pozdě, musel řídit teamový minibus a starat se o celý team ve stresujících podmínkách po celém dnu v práci; během disciplinárního procesu plně spolupracoval a ne</w:t>
      </w:r>
      <w:r w:rsidR="00EB5BFE">
        <w:rPr>
          <w:lang w:val="cs-CZ"/>
        </w:rPr>
        <w:t>po</w:t>
      </w:r>
      <w:r w:rsidR="00C81978" w:rsidRPr="00EB5BFE">
        <w:rPr>
          <w:lang w:val="cs-CZ"/>
        </w:rPr>
        <w:t xml:space="preserve">žadoval ústní slyšení.  </w:t>
      </w:r>
    </w:p>
    <w:p w:rsidR="00DC0E25" w:rsidRPr="00EB5BFE" w:rsidRDefault="00DC0E25" w:rsidP="00EB5BFE">
      <w:pPr>
        <w:tabs>
          <w:tab w:val="left" w:pos="915"/>
        </w:tabs>
        <w:spacing w:before="2" w:line="360" w:lineRule="auto"/>
        <w:rPr>
          <w:lang w:val="cs-CZ"/>
        </w:rPr>
      </w:pPr>
    </w:p>
    <w:p w:rsidR="00DC0E25" w:rsidRPr="00EB5BFE" w:rsidRDefault="00DC0E25">
      <w:pPr>
        <w:pStyle w:val="Zkladntext"/>
        <w:rPr>
          <w:sz w:val="26"/>
          <w:lang w:val="cs-CZ"/>
        </w:rPr>
      </w:pPr>
    </w:p>
    <w:p w:rsidR="00DC0E25" w:rsidRPr="00EB5BFE" w:rsidRDefault="00DC0E25">
      <w:pPr>
        <w:pStyle w:val="Zkladntext"/>
        <w:rPr>
          <w:sz w:val="26"/>
          <w:lang w:val="cs-CZ"/>
        </w:rPr>
      </w:pPr>
    </w:p>
    <w:p w:rsidR="00DC0E25" w:rsidRPr="00EB5BFE" w:rsidRDefault="00DC0E25">
      <w:pPr>
        <w:pStyle w:val="Zkladntext"/>
        <w:spacing w:before="3"/>
        <w:rPr>
          <w:sz w:val="20"/>
          <w:lang w:val="cs-CZ"/>
        </w:rPr>
      </w:pPr>
    </w:p>
    <w:p w:rsidR="00DC0E25" w:rsidRPr="00EB5BFE" w:rsidRDefault="00C81978">
      <w:pPr>
        <w:pStyle w:val="Nadpis1"/>
        <w:rPr>
          <w:lang w:val="cs-CZ"/>
        </w:rPr>
      </w:pPr>
      <w:r w:rsidRPr="00EB5BFE">
        <w:rPr>
          <w:lang w:val="cs-CZ"/>
        </w:rPr>
        <w:t xml:space="preserve">Poučení </w:t>
      </w:r>
    </w:p>
    <w:p w:rsidR="00DC0E25" w:rsidRPr="00EB5BFE" w:rsidRDefault="00DC0E25">
      <w:pPr>
        <w:pStyle w:val="Zkladntext"/>
        <w:spacing w:before="9"/>
        <w:rPr>
          <w:b/>
          <w:sz w:val="30"/>
          <w:lang w:val="cs-CZ"/>
        </w:rPr>
      </w:pPr>
    </w:p>
    <w:p w:rsidR="00A66877" w:rsidRPr="00EB5BFE" w:rsidRDefault="00A66877" w:rsidP="00EB5BFE">
      <w:pPr>
        <w:pStyle w:val="Odstavecseseznamem"/>
        <w:numPr>
          <w:ilvl w:val="3"/>
          <w:numId w:val="2"/>
        </w:numPr>
        <w:tabs>
          <w:tab w:val="left" w:pos="841"/>
        </w:tabs>
        <w:spacing w:line="360" w:lineRule="auto"/>
        <w:ind w:right="1035" w:hanging="360"/>
        <w:rPr>
          <w:lang w:val="cs-CZ"/>
        </w:rPr>
      </w:pPr>
      <w:bookmarkStart w:id="0" w:name="_GoBack"/>
      <w:bookmarkEnd w:id="0"/>
      <w:r w:rsidRPr="00600335">
        <w:rPr>
          <w:highlight w:val="yellow"/>
          <w:lang w:val="cs-CZ"/>
        </w:rPr>
        <w:t>Soud může zkrátit období zákazu činnosti</w:t>
      </w:r>
      <w:r w:rsidR="00063B0C" w:rsidRPr="00600335">
        <w:rPr>
          <w:highlight w:val="yellow"/>
          <w:lang w:val="cs-CZ"/>
        </w:rPr>
        <w:t xml:space="preserve"> maximálně o polovinu v případech, kdy sportovec poru</w:t>
      </w:r>
      <w:r w:rsidR="007D2411" w:rsidRPr="00600335">
        <w:rPr>
          <w:highlight w:val="yellow"/>
          <w:lang w:val="cs-CZ"/>
        </w:rPr>
        <w:t>š</w:t>
      </w:r>
      <w:r w:rsidR="00063B0C" w:rsidRPr="00600335">
        <w:rPr>
          <w:highlight w:val="yellow"/>
          <w:lang w:val="cs-CZ"/>
        </w:rPr>
        <w:t>ení dopingových pravidel přizná před obdržením oznámení o obvinění</w:t>
      </w:r>
      <w:r w:rsidR="00063B0C" w:rsidRPr="00EB5BFE">
        <w:rPr>
          <w:lang w:val="cs-CZ"/>
        </w:rPr>
        <w:t xml:space="preserve"> a kdy toto přiznání v daném okamžiku představuje jediný spolehlivý důkaz o porušení pravidel. Sportovec v okamžiku přiznání nemusí vědět, že k porušení pravidel došlo. </w:t>
      </w:r>
    </w:p>
    <w:p w:rsidR="00DC0E25" w:rsidRPr="00EB5BFE" w:rsidRDefault="00DC0E25" w:rsidP="00EB5BFE">
      <w:pPr>
        <w:pStyle w:val="Odstavecseseznamem"/>
        <w:numPr>
          <w:ilvl w:val="3"/>
          <w:numId w:val="2"/>
        </w:numPr>
        <w:tabs>
          <w:tab w:val="left" w:pos="841"/>
        </w:tabs>
        <w:spacing w:line="360" w:lineRule="auto"/>
        <w:ind w:right="1035" w:hanging="360"/>
        <w:rPr>
          <w:lang w:val="cs-CZ"/>
        </w:rPr>
        <w:sectPr w:rsidR="00DC0E25" w:rsidRPr="00EB5BFE">
          <w:pgSz w:w="11910" w:h="16840"/>
          <w:pgMar w:top="1340" w:right="400" w:bottom="280" w:left="1320" w:header="708" w:footer="708" w:gutter="0"/>
          <w:cols w:space="708"/>
        </w:sectPr>
      </w:pPr>
    </w:p>
    <w:p w:rsidR="00DC0E25" w:rsidRDefault="00063B0C">
      <w:pPr>
        <w:pStyle w:val="Odstavecseseznamem"/>
        <w:numPr>
          <w:ilvl w:val="3"/>
          <w:numId w:val="2"/>
        </w:numPr>
        <w:tabs>
          <w:tab w:val="left" w:pos="840"/>
          <w:tab w:val="left" w:pos="841"/>
        </w:tabs>
        <w:spacing w:before="81" w:line="357" w:lineRule="auto"/>
        <w:ind w:hanging="360"/>
        <w:jc w:val="left"/>
        <w:rPr>
          <w:lang w:val="cs-CZ"/>
        </w:rPr>
      </w:pPr>
      <w:r w:rsidRPr="00EB5BFE">
        <w:rPr>
          <w:lang w:val="cs-CZ"/>
        </w:rPr>
        <w:lastRenderedPageBreak/>
        <w:t xml:space="preserve">Obstrukce a/nebo nečestné jednání v průběhu procesu testování může vest k obvinění z porušení dopingových pravidel za podvádění podle Článku 2.5. </w:t>
      </w:r>
    </w:p>
    <w:p w:rsidR="00EB5BFE" w:rsidRPr="00EB5BFE" w:rsidRDefault="00EB5BFE" w:rsidP="00EB5BFE">
      <w:pPr>
        <w:pStyle w:val="Odstavecseseznamem"/>
        <w:rPr>
          <w:lang w:val="cs-CZ"/>
        </w:rPr>
      </w:pPr>
    </w:p>
    <w:p w:rsidR="00EB5BFE" w:rsidRPr="00EB5BFE" w:rsidRDefault="00EB5BFE" w:rsidP="00EB5BFE">
      <w:pPr>
        <w:pStyle w:val="Odstavecseseznamem"/>
        <w:numPr>
          <w:ilvl w:val="3"/>
          <w:numId w:val="2"/>
        </w:numPr>
        <w:spacing w:line="360" w:lineRule="auto"/>
        <w:rPr>
          <w:lang w:val="cs-CZ"/>
        </w:rPr>
      </w:pPr>
      <w:r w:rsidRPr="00EB5BFE">
        <w:rPr>
          <w:lang w:val="cs-CZ"/>
        </w:rPr>
        <w:t>Vícenásobné porušení dopingových pravidel může představovat přitěžující okolnost. V takovém případě soud může prodloužit období zákazu činnosti podle Článku 10.6.</w:t>
      </w:r>
    </w:p>
    <w:p w:rsidR="00DC0E25" w:rsidRPr="00EB5BFE" w:rsidRDefault="00DC0E25">
      <w:pPr>
        <w:pStyle w:val="Zkladntext"/>
        <w:ind w:left="110"/>
        <w:rPr>
          <w:sz w:val="20"/>
          <w:lang w:val="cs-CZ"/>
        </w:rPr>
      </w:pPr>
    </w:p>
    <w:sectPr w:rsidR="00DC0E25" w:rsidRPr="00EB5BFE">
      <w:pgSz w:w="11910" w:h="16840"/>
      <w:pgMar w:top="1340" w:right="4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E5AB5"/>
    <w:multiLevelType w:val="multilevel"/>
    <w:tmpl w:val="F9A8601E"/>
    <w:lvl w:ilvl="0">
      <w:start w:val="10"/>
      <w:numFmt w:val="decimal"/>
      <w:lvlText w:val="%1"/>
      <w:lvlJc w:val="left"/>
      <w:pPr>
        <w:ind w:left="120" w:hanging="795"/>
        <w:jc w:val="left"/>
      </w:pPr>
      <w:rPr>
        <w:rFonts w:hint="default"/>
        <w:lang w:val="en-GB" w:eastAsia="en-GB" w:bidi="en-GB"/>
      </w:rPr>
    </w:lvl>
    <w:lvl w:ilvl="1">
      <w:start w:val="5"/>
      <w:numFmt w:val="decimal"/>
      <w:lvlText w:val="%1.%2"/>
      <w:lvlJc w:val="left"/>
      <w:pPr>
        <w:ind w:left="120" w:hanging="795"/>
        <w:jc w:val="left"/>
      </w:pPr>
      <w:rPr>
        <w:rFonts w:hint="default"/>
        <w:lang w:val="en-GB" w:eastAsia="en-GB" w:bidi="en-GB"/>
      </w:rPr>
    </w:lvl>
    <w:lvl w:ilvl="2">
      <w:start w:val="4"/>
      <w:numFmt w:val="decimal"/>
      <w:lvlText w:val="%1.%2.%3"/>
      <w:lvlJc w:val="left"/>
      <w:pPr>
        <w:ind w:left="120" w:hanging="795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en-GB" w:eastAsia="en-GB" w:bidi="en-GB"/>
      </w:rPr>
    </w:lvl>
    <w:lvl w:ilvl="3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4">
      <w:numFmt w:val="bullet"/>
      <w:lvlText w:val="•"/>
      <w:lvlJc w:val="left"/>
      <w:pPr>
        <w:ind w:left="3955" w:hanging="361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4993" w:hanging="361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032" w:hanging="361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070" w:hanging="361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109" w:hanging="361"/>
      </w:pPr>
      <w:rPr>
        <w:rFonts w:hint="default"/>
        <w:lang w:val="en-GB" w:eastAsia="en-GB" w:bidi="en-GB"/>
      </w:rPr>
    </w:lvl>
  </w:abstractNum>
  <w:abstractNum w:abstractNumId="1" w15:restartNumberingAfterBreak="0">
    <w:nsid w:val="65677850"/>
    <w:multiLevelType w:val="hybridMultilevel"/>
    <w:tmpl w:val="A9D86B02"/>
    <w:lvl w:ilvl="0" w:tplc="9BEE843C">
      <w:numFmt w:val="bullet"/>
      <w:lvlText w:val=""/>
      <w:lvlJc w:val="left"/>
      <w:pPr>
        <w:ind w:left="720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8FEA81E4">
      <w:numFmt w:val="bullet"/>
      <w:lvlText w:val="•"/>
      <w:lvlJc w:val="left"/>
      <w:pPr>
        <w:ind w:left="1644" w:hanging="361"/>
      </w:pPr>
      <w:rPr>
        <w:rFonts w:hint="default"/>
        <w:lang w:val="en-GB" w:eastAsia="en-GB" w:bidi="en-GB"/>
      </w:rPr>
    </w:lvl>
    <w:lvl w:ilvl="2" w:tplc="75466826">
      <w:numFmt w:val="bullet"/>
      <w:lvlText w:val="•"/>
      <w:lvlJc w:val="left"/>
      <w:pPr>
        <w:ind w:left="2569" w:hanging="361"/>
      </w:pPr>
      <w:rPr>
        <w:rFonts w:hint="default"/>
        <w:lang w:val="en-GB" w:eastAsia="en-GB" w:bidi="en-GB"/>
      </w:rPr>
    </w:lvl>
    <w:lvl w:ilvl="3" w:tplc="F3185EBA">
      <w:numFmt w:val="bullet"/>
      <w:lvlText w:val="•"/>
      <w:lvlJc w:val="left"/>
      <w:pPr>
        <w:ind w:left="3493" w:hanging="361"/>
      </w:pPr>
      <w:rPr>
        <w:rFonts w:hint="default"/>
        <w:lang w:val="en-GB" w:eastAsia="en-GB" w:bidi="en-GB"/>
      </w:rPr>
    </w:lvl>
    <w:lvl w:ilvl="4" w:tplc="64F2169E">
      <w:numFmt w:val="bullet"/>
      <w:lvlText w:val="•"/>
      <w:lvlJc w:val="left"/>
      <w:pPr>
        <w:ind w:left="4418" w:hanging="361"/>
      </w:pPr>
      <w:rPr>
        <w:rFonts w:hint="default"/>
        <w:lang w:val="en-GB" w:eastAsia="en-GB" w:bidi="en-GB"/>
      </w:rPr>
    </w:lvl>
    <w:lvl w:ilvl="5" w:tplc="F83A896A">
      <w:numFmt w:val="bullet"/>
      <w:lvlText w:val="•"/>
      <w:lvlJc w:val="left"/>
      <w:pPr>
        <w:ind w:left="5343" w:hanging="361"/>
      </w:pPr>
      <w:rPr>
        <w:rFonts w:hint="default"/>
        <w:lang w:val="en-GB" w:eastAsia="en-GB" w:bidi="en-GB"/>
      </w:rPr>
    </w:lvl>
    <w:lvl w:ilvl="6" w:tplc="30AA3D3C">
      <w:numFmt w:val="bullet"/>
      <w:lvlText w:val="•"/>
      <w:lvlJc w:val="left"/>
      <w:pPr>
        <w:ind w:left="6267" w:hanging="361"/>
      </w:pPr>
      <w:rPr>
        <w:rFonts w:hint="default"/>
        <w:lang w:val="en-GB" w:eastAsia="en-GB" w:bidi="en-GB"/>
      </w:rPr>
    </w:lvl>
    <w:lvl w:ilvl="7" w:tplc="A19EA958">
      <w:numFmt w:val="bullet"/>
      <w:lvlText w:val="•"/>
      <w:lvlJc w:val="left"/>
      <w:pPr>
        <w:ind w:left="7192" w:hanging="361"/>
      </w:pPr>
      <w:rPr>
        <w:rFonts w:hint="default"/>
        <w:lang w:val="en-GB" w:eastAsia="en-GB" w:bidi="en-GB"/>
      </w:rPr>
    </w:lvl>
    <w:lvl w:ilvl="8" w:tplc="0DC465DE">
      <w:numFmt w:val="bullet"/>
      <w:lvlText w:val="•"/>
      <w:lvlJc w:val="left"/>
      <w:pPr>
        <w:ind w:left="8116" w:hanging="361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25"/>
    <w:rsid w:val="00063B0C"/>
    <w:rsid w:val="000C0D76"/>
    <w:rsid w:val="000E262C"/>
    <w:rsid w:val="00253E66"/>
    <w:rsid w:val="00600335"/>
    <w:rsid w:val="0061551D"/>
    <w:rsid w:val="007D2411"/>
    <w:rsid w:val="00A66877"/>
    <w:rsid w:val="00BE7E25"/>
    <w:rsid w:val="00C81978"/>
    <w:rsid w:val="00D66D24"/>
    <w:rsid w:val="00D76447"/>
    <w:rsid w:val="00DC0E25"/>
    <w:rsid w:val="00EB5BFE"/>
    <w:rsid w:val="00F635CA"/>
    <w:rsid w:val="00FD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887EC-DA41-429E-9A99-51AA8F75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Verdana" w:eastAsia="Verdana" w:hAnsi="Verdana" w:cs="Verdana"/>
      <w:lang w:val="en-GB" w:eastAsia="en-GB" w:bidi="en-GB"/>
    </w:rPr>
  </w:style>
  <w:style w:type="paragraph" w:styleId="Nadpis1">
    <w:name w:val="heading 1"/>
    <w:basedOn w:val="Normln"/>
    <w:uiPriority w:val="9"/>
    <w:qFormat/>
    <w:pPr>
      <w:ind w:left="120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40" w:right="1038" w:hanging="360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7D24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2411"/>
    <w:rPr>
      <w:rFonts w:ascii="Segoe UI" w:eastAsia="Verdana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519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temp2</dc:creator>
  <cp:lastModifiedBy>Jiří Mališ</cp:lastModifiedBy>
  <cp:revision>13</cp:revision>
  <dcterms:created xsi:type="dcterms:W3CDTF">2018-12-16T17:56:00Z</dcterms:created>
  <dcterms:modified xsi:type="dcterms:W3CDTF">2019-02-03T09:50:00Z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2018-10-16T00:00:00Z</vt:filetime>
  </property>
</Properties>
</file>