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23" w:rsidRPr="00974FFF" w:rsidRDefault="00926485">
      <w:pPr>
        <w:pStyle w:val="Zkladntext"/>
        <w:spacing w:before="32"/>
        <w:ind w:right="115"/>
        <w:jc w:val="right"/>
        <w:rPr>
          <w:rFonts w:ascii="Arial"/>
          <w:lang w:val="cs-CZ"/>
        </w:rPr>
      </w:pPr>
      <w:r w:rsidRPr="00974FFF">
        <w:rPr>
          <w:rFonts w:ascii="Arial"/>
          <w:w w:val="90"/>
          <w:lang w:val="cs-CZ"/>
        </w:rPr>
        <w:t>Rozhodnut</w:t>
      </w:r>
      <w:r w:rsidRPr="00974FFF">
        <w:rPr>
          <w:rFonts w:ascii="Arial"/>
          <w:w w:val="90"/>
          <w:lang w:val="cs-CZ"/>
        </w:rPr>
        <w:t>í</w:t>
      </w:r>
      <w:r w:rsidRPr="00974FFF">
        <w:rPr>
          <w:rFonts w:ascii="Arial"/>
          <w:w w:val="90"/>
          <w:lang w:val="cs-CZ"/>
        </w:rPr>
        <w:t xml:space="preserve"> N</w:t>
      </w:r>
      <w:r w:rsidRPr="00974FFF">
        <w:rPr>
          <w:rFonts w:ascii="Arial"/>
          <w:w w:val="90"/>
          <w:lang w:val="cs-CZ"/>
        </w:rPr>
        <w:t>á</w:t>
      </w:r>
      <w:r w:rsidRPr="00974FFF">
        <w:rPr>
          <w:rFonts w:ascii="Arial"/>
          <w:w w:val="90"/>
          <w:lang w:val="cs-CZ"/>
        </w:rPr>
        <w:t>rodn</w:t>
      </w:r>
      <w:r w:rsidRPr="00974FFF">
        <w:rPr>
          <w:rFonts w:ascii="Arial"/>
          <w:w w:val="90"/>
          <w:lang w:val="cs-CZ"/>
        </w:rPr>
        <w:t>í</w:t>
      </w:r>
      <w:r w:rsidRPr="00974FFF">
        <w:rPr>
          <w:rFonts w:ascii="Arial"/>
          <w:w w:val="90"/>
          <w:lang w:val="cs-CZ"/>
        </w:rPr>
        <w:t>ho antidopingov</w:t>
      </w:r>
      <w:r w:rsidRPr="00974FFF">
        <w:rPr>
          <w:rFonts w:ascii="Arial"/>
          <w:w w:val="90"/>
          <w:lang w:val="cs-CZ"/>
        </w:rPr>
        <w:t>é</w:t>
      </w:r>
      <w:r w:rsidRPr="00974FFF">
        <w:rPr>
          <w:rFonts w:ascii="Arial"/>
          <w:w w:val="90"/>
          <w:lang w:val="cs-CZ"/>
        </w:rPr>
        <w:t>ho panelu (</w:t>
      </w:r>
      <w:r w:rsidRPr="00974FFF">
        <w:rPr>
          <w:rFonts w:ascii="Arial"/>
          <w:w w:val="90"/>
          <w:lang w:val="cs-CZ"/>
        </w:rPr>
        <w:t>č</w:t>
      </w:r>
      <w:r w:rsidRPr="00974FFF">
        <w:rPr>
          <w:rFonts w:ascii="Arial"/>
          <w:w w:val="90"/>
          <w:lang w:val="cs-CZ"/>
        </w:rPr>
        <w:t xml:space="preserve">erven </w:t>
      </w:r>
      <w:r w:rsidR="00DA6F4B" w:rsidRPr="00974FFF">
        <w:rPr>
          <w:rFonts w:ascii="Arial"/>
          <w:w w:val="90"/>
          <w:lang w:val="cs-CZ"/>
        </w:rPr>
        <w:t>2011)</w:t>
      </w:r>
    </w:p>
    <w:p w:rsidR="00536723" w:rsidRPr="00974FFF" w:rsidRDefault="00DA6F4B">
      <w:pPr>
        <w:pStyle w:val="Zkladntext"/>
        <w:spacing w:before="15"/>
        <w:ind w:right="117"/>
        <w:jc w:val="right"/>
        <w:rPr>
          <w:rFonts w:ascii="Arial"/>
          <w:lang w:val="cs-CZ"/>
        </w:rPr>
      </w:pPr>
      <w:r w:rsidRPr="00974FFF">
        <w:rPr>
          <w:rFonts w:ascii="Arial"/>
          <w:w w:val="90"/>
          <w:lang w:val="cs-CZ"/>
        </w:rPr>
        <w:t>UK</w:t>
      </w:r>
      <w:r w:rsidRPr="00974FFF">
        <w:rPr>
          <w:rFonts w:ascii="Arial"/>
          <w:spacing w:val="-11"/>
          <w:w w:val="90"/>
          <w:lang w:val="cs-CZ"/>
        </w:rPr>
        <w:t xml:space="preserve"> </w:t>
      </w:r>
      <w:r w:rsidRPr="00974FFF">
        <w:rPr>
          <w:rFonts w:ascii="Arial"/>
          <w:w w:val="90"/>
          <w:lang w:val="cs-CZ"/>
        </w:rPr>
        <w:t>Anti-Doping</w:t>
      </w:r>
      <w:r w:rsidRPr="00974FFF">
        <w:rPr>
          <w:rFonts w:ascii="Arial"/>
          <w:spacing w:val="-12"/>
          <w:w w:val="90"/>
          <w:lang w:val="cs-CZ"/>
        </w:rPr>
        <w:t xml:space="preserve"> </w:t>
      </w:r>
      <w:r w:rsidRPr="00974FFF">
        <w:rPr>
          <w:rFonts w:ascii="Arial"/>
          <w:w w:val="90"/>
          <w:lang w:val="cs-CZ"/>
        </w:rPr>
        <w:t>v</w:t>
      </w:r>
      <w:r w:rsidRPr="00974FFF">
        <w:rPr>
          <w:rFonts w:ascii="Arial"/>
          <w:spacing w:val="-12"/>
          <w:w w:val="90"/>
          <w:lang w:val="cs-CZ"/>
        </w:rPr>
        <w:t xml:space="preserve"> </w:t>
      </w:r>
      <w:r w:rsidR="00926485" w:rsidRPr="00974FFF">
        <w:rPr>
          <w:rFonts w:ascii="Arial"/>
          <w:w w:val="90"/>
          <w:lang w:val="cs-CZ"/>
        </w:rPr>
        <w:t>Hr</w:t>
      </w:r>
      <w:r w:rsidR="00926485" w:rsidRPr="00974FFF">
        <w:rPr>
          <w:rFonts w:ascii="Arial"/>
          <w:w w:val="90"/>
          <w:lang w:val="cs-CZ"/>
        </w:rPr>
        <w:t>áč</w:t>
      </w:r>
      <w:r w:rsidR="00926485" w:rsidRPr="00974FFF">
        <w:rPr>
          <w:rFonts w:ascii="Arial"/>
          <w:spacing w:val="-13"/>
          <w:w w:val="90"/>
          <w:lang w:val="cs-CZ"/>
        </w:rPr>
        <w:t xml:space="preserve"> </w:t>
      </w:r>
      <w:r w:rsidRPr="00974FFF">
        <w:rPr>
          <w:rFonts w:ascii="Arial"/>
          <w:w w:val="90"/>
          <w:lang w:val="cs-CZ"/>
        </w:rPr>
        <w:t>J</w:t>
      </w:r>
    </w:p>
    <w:p w:rsidR="00536723" w:rsidRPr="00974FFF" w:rsidRDefault="00536723">
      <w:pPr>
        <w:pStyle w:val="Zkladntext"/>
        <w:rPr>
          <w:rFonts w:ascii="Arial"/>
          <w:sz w:val="20"/>
          <w:lang w:val="cs-CZ"/>
        </w:rPr>
      </w:pPr>
    </w:p>
    <w:p w:rsidR="00536723" w:rsidRPr="00974FFF" w:rsidRDefault="00536723">
      <w:pPr>
        <w:pStyle w:val="Zkladntext"/>
        <w:rPr>
          <w:rFonts w:ascii="Arial"/>
          <w:sz w:val="20"/>
          <w:lang w:val="cs-CZ"/>
        </w:rPr>
      </w:pPr>
    </w:p>
    <w:p w:rsidR="00536723" w:rsidRPr="00974FFF" w:rsidRDefault="00536723">
      <w:pPr>
        <w:pStyle w:val="Zkladntext"/>
        <w:rPr>
          <w:rFonts w:ascii="Arial"/>
          <w:sz w:val="19"/>
          <w:lang w:val="cs-CZ"/>
        </w:rPr>
      </w:pPr>
    </w:p>
    <w:p w:rsidR="00536723" w:rsidRPr="00974FFF" w:rsidRDefault="00631517">
      <w:pPr>
        <w:spacing w:before="101"/>
        <w:ind w:left="1034"/>
        <w:rPr>
          <w:b/>
          <w:sz w:val="28"/>
          <w:lang w:val="cs-CZ"/>
        </w:rPr>
      </w:pPr>
      <w:r w:rsidRPr="00974FFF">
        <w:rPr>
          <w:b/>
          <w:sz w:val="28"/>
          <w:lang w:val="cs-CZ"/>
        </w:rPr>
        <w:t xml:space="preserve">Případ č. 11 – Přítomnost zakázané látky </w:t>
      </w:r>
    </w:p>
    <w:p w:rsidR="00536723" w:rsidRPr="00974FFF" w:rsidRDefault="00536723">
      <w:pPr>
        <w:pStyle w:val="Zkladntext"/>
        <w:rPr>
          <w:b/>
          <w:sz w:val="34"/>
          <w:lang w:val="cs-CZ"/>
        </w:rPr>
      </w:pPr>
    </w:p>
    <w:p w:rsidR="00536723" w:rsidRPr="00974FFF" w:rsidRDefault="00536723">
      <w:pPr>
        <w:pStyle w:val="Zkladntext"/>
        <w:rPr>
          <w:b/>
          <w:sz w:val="34"/>
          <w:lang w:val="cs-CZ"/>
        </w:rPr>
      </w:pPr>
    </w:p>
    <w:p w:rsidR="00536723" w:rsidRPr="00974FFF" w:rsidRDefault="00631517">
      <w:pPr>
        <w:pStyle w:val="Nadpis1"/>
        <w:spacing w:before="223"/>
        <w:rPr>
          <w:lang w:val="cs-CZ"/>
        </w:rPr>
      </w:pPr>
      <w:r w:rsidRPr="00974FFF">
        <w:rPr>
          <w:lang w:val="cs-CZ"/>
        </w:rPr>
        <w:t xml:space="preserve">Klíčová slova </w:t>
      </w:r>
    </w:p>
    <w:p w:rsidR="00536723" w:rsidRPr="00974FFF" w:rsidRDefault="00536723">
      <w:pPr>
        <w:pStyle w:val="Zkladntext"/>
        <w:spacing w:before="8"/>
        <w:rPr>
          <w:b/>
          <w:sz w:val="30"/>
          <w:lang w:val="cs-CZ"/>
        </w:rPr>
      </w:pPr>
    </w:p>
    <w:p w:rsidR="00536723" w:rsidRPr="00974FFF" w:rsidRDefault="00631517">
      <w:pPr>
        <w:spacing w:line="360" w:lineRule="auto"/>
        <w:ind w:left="120" w:right="117"/>
        <w:jc w:val="both"/>
        <w:rPr>
          <w:i/>
          <w:lang w:val="cs-CZ"/>
        </w:rPr>
      </w:pPr>
      <w:r w:rsidRPr="00974FFF">
        <w:rPr>
          <w:i/>
          <w:lang w:val="cs-CZ"/>
        </w:rPr>
        <w:t>Článek 2.1; Metylhexanamin; Oxy Elite Pro; Doplněk; Kontroly; Podpůrný person</w:t>
      </w:r>
      <w:r w:rsidR="00926485">
        <w:rPr>
          <w:i/>
          <w:lang w:val="cs-CZ"/>
        </w:rPr>
        <w:t>á</w:t>
      </w:r>
      <w:r w:rsidRPr="00974FFF">
        <w:rPr>
          <w:i/>
          <w:lang w:val="cs-CZ"/>
        </w:rPr>
        <w:t>l;</w:t>
      </w:r>
      <w:r w:rsidR="00DA6F4B" w:rsidRPr="00974FFF">
        <w:rPr>
          <w:i/>
          <w:lang w:val="cs-CZ"/>
        </w:rPr>
        <w:t xml:space="preserve"> </w:t>
      </w:r>
      <w:r w:rsidRPr="00974FFF">
        <w:rPr>
          <w:i/>
          <w:lang w:val="cs-CZ"/>
        </w:rPr>
        <w:t xml:space="preserve">Článek </w:t>
      </w:r>
      <w:r w:rsidR="00DA6F4B" w:rsidRPr="00974FFF">
        <w:rPr>
          <w:i/>
          <w:lang w:val="cs-CZ"/>
        </w:rPr>
        <w:t xml:space="preserve">10.4; </w:t>
      </w:r>
      <w:r w:rsidRPr="00974FFF">
        <w:rPr>
          <w:i/>
          <w:lang w:val="cs-CZ"/>
        </w:rPr>
        <w:t xml:space="preserve">Článek </w:t>
      </w:r>
      <w:r w:rsidR="00DA6F4B" w:rsidRPr="00974FFF">
        <w:rPr>
          <w:i/>
          <w:lang w:val="cs-CZ"/>
        </w:rPr>
        <w:t xml:space="preserve">10.5.1; </w:t>
      </w:r>
      <w:r w:rsidRPr="00974FFF">
        <w:rPr>
          <w:i/>
          <w:lang w:val="cs-CZ"/>
        </w:rPr>
        <w:t xml:space="preserve">Článek </w:t>
      </w:r>
      <w:r w:rsidR="00DA6F4B" w:rsidRPr="00974FFF">
        <w:rPr>
          <w:i/>
          <w:lang w:val="cs-CZ"/>
        </w:rPr>
        <w:t xml:space="preserve">10.5.2; </w:t>
      </w:r>
      <w:r w:rsidR="00DA6F4B" w:rsidRPr="00974FFF">
        <w:rPr>
          <w:i/>
          <w:color w:val="0070C0"/>
          <w:lang w:val="cs-CZ"/>
        </w:rPr>
        <w:t>Doping</w:t>
      </w:r>
    </w:p>
    <w:p w:rsidR="00536723" w:rsidRPr="00974FFF" w:rsidRDefault="00536723">
      <w:pPr>
        <w:pStyle w:val="Zkladntext"/>
        <w:rPr>
          <w:i/>
          <w:sz w:val="26"/>
          <w:lang w:val="cs-CZ"/>
        </w:rPr>
      </w:pPr>
    </w:p>
    <w:p w:rsidR="00536723" w:rsidRPr="00974FFF" w:rsidRDefault="00536723">
      <w:pPr>
        <w:pStyle w:val="Zkladntext"/>
        <w:rPr>
          <w:i/>
          <w:sz w:val="26"/>
          <w:lang w:val="cs-CZ"/>
        </w:rPr>
      </w:pPr>
    </w:p>
    <w:p w:rsidR="00536723" w:rsidRPr="00974FFF" w:rsidRDefault="00536723">
      <w:pPr>
        <w:pStyle w:val="Zkladntext"/>
        <w:spacing w:before="8"/>
        <w:rPr>
          <w:i/>
          <w:sz w:val="20"/>
          <w:lang w:val="cs-CZ"/>
        </w:rPr>
      </w:pPr>
    </w:p>
    <w:p w:rsidR="00536723" w:rsidRPr="00974FFF" w:rsidRDefault="00DA6F4B">
      <w:pPr>
        <w:pStyle w:val="Nadpis1"/>
        <w:rPr>
          <w:lang w:val="cs-CZ"/>
        </w:rPr>
      </w:pPr>
      <w:r w:rsidRPr="00974FFF">
        <w:rPr>
          <w:lang w:val="cs-CZ"/>
        </w:rPr>
        <w:t>S</w:t>
      </w:r>
      <w:r w:rsidR="00631517" w:rsidRPr="00974FFF">
        <w:rPr>
          <w:lang w:val="cs-CZ"/>
        </w:rPr>
        <w:t>hrnutí</w:t>
      </w:r>
    </w:p>
    <w:p w:rsidR="00536723" w:rsidRPr="00974FFF" w:rsidRDefault="00536723">
      <w:pPr>
        <w:pStyle w:val="Zkladntext"/>
        <w:spacing w:before="8"/>
        <w:rPr>
          <w:b/>
          <w:sz w:val="30"/>
          <w:lang w:val="cs-CZ"/>
        </w:rPr>
      </w:pPr>
    </w:p>
    <w:p w:rsidR="00536723" w:rsidRPr="00974FFF" w:rsidRDefault="00631517" w:rsidP="00974FFF">
      <w:pPr>
        <w:pStyle w:val="Zkladntext"/>
        <w:spacing w:before="1" w:line="360" w:lineRule="auto"/>
        <w:ind w:left="120" w:right="114"/>
        <w:jc w:val="both"/>
        <w:rPr>
          <w:sz w:val="26"/>
          <w:lang w:val="cs-CZ"/>
        </w:rPr>
      </w:pPr>
      <w:r w:rsidRPr="00974FFF">
        <w:rPr>
          <w:lang w:val="cs-CZ"/>
        </w:rPr>
        <w:t xml:space="preserve">Hráč J byl obviněn z porušení dopingových pravidel dle Článku 2.1 za pozitivní laboratorní nález na přítomnost metylhexanaminu (MHA). Podle dopingových pravidel přijatých </w:t>
      </w:r>
      <w:r w:rsidRPr="007D21A8">
        <w:rPr>
          <w:highlight w:val="yellow"/>
          <w:lang w:val="cs-CZ"/>
        </w:rPr>
        <w:t xml:space="preserve">Ligou </w:t>
      </w:r>
      <w:r w:rsidR="00926485" w:rsidRPr="007D21A8">
        <w:rPr>
          <w:highlight w:val="yellow"/>
          <w:lang w:val="cs-CZ"/>
        </w:rPr>
        <w:t>ragby</w:t>
      </w:r>
      <w:bookmarkStart w:id="0" w:name="_GoBack"/>
      <w:bookmarkEnd w:id="0"/>
      <w:r w:rsidRPr="00974FFF">
        <w:rPr>
          <w:lang w:val="cs-CZ"/>
        </w:rPr>
        <w:t xml:space="preserve"> (Rugby Football League) byl případ předán k vyřešení Národnímu </w:t>
      </w:r>
      <w:r w:rsidR="00926485">
        <w:rPr>
          <w:lang w:val="cs-CZ"/>
        </w:rPr>
        <w:t>anti</w:t>
      </w:r>
      <w:r w:rsidRPr="00974FFF">
        <w:rPr>
          <w:lang w:val="cs-CZ"/>
        </w:rPr>
        <w:t>dopingovému panelu. Soud došel k závěru, že Hráč J ne</w:t>
      </w:r>
      <w:r w:rsidR="00926485">
        <w:rPr>
          <w:lang w:val="cs-CZ"/>
        </w:rPr>
        <w:t>naplňuje</w:t>
      </w:r>
      <w:r w:rsidRPr="00974FFF">
        <w:rPr>
          <w:lang w:val="cs-CZ"/>
        </w:rPr>
        <w:t xml:space="preserve"> požadavky Článku 10.4 (</w:t>
      </w:r>
      <w:r w:rsidR="00974FFF">
        <w:rPr>
          <w:lang w:val="cs-CZ"/>
        </w:rPr>
        <w:t>N</w:t>
      </w:r>
      <w:r w:rsidRPr="00974FFF">
        <w:rPr>
          <w:lang w:val="cs-CZ"/>
        </w:rPr>
        <w:t xml:space="preserve">eexistence </w:t>
      </w:r>
      <w:r w:rsidR="00974FFF">
        <w:rPr>
          <w:lang w:val="cs-CZ"/>
        </w:rPr>
        <w:t>z</w:t>
      </w:r>
      <w:r w:rsidRPr="00974FFF">
        <w:rPr>
          <w:lang w:val="cs-CZ"/>
        </w:rPr>
        <w:t>áměru zlepšit výkon)</w:t>
      </w:r>
      <w:r w:rsidR="000F74F5" w:rsidRPr="00656C2F">
        <w:rPr>
          <w:lang w:val="cs-CZ"/>
        </w:rPr>
        <w:t>, 10</w:t>
      </w:r>
      <w:r w:rsidR="000F74F5" w:rsidRPr="00926485">
        <w:rPr>
          <w:lang w:val="cs-CZ"/>
        </w:rPr>
        <w:t xml:space="preserve">.5.1 (Neexistence </w:t>
      </w:r>
      <w:r w:rsidR="00926485">
        <w:rPr>
          <w:lang w:val="cs-CZ"/>
        </w:rPr>
        <w:t>z</w:t>
      </w:r>
      <w:r w:rsidR="000F74F5" w:rsidRPr="00926485">
        <w:rPr>
          <w:lang w:val="cs-CZ"/>
        </w:rPr>
        <w:t xml:space="preserve">avinění nebo </w:t>
      </w:r>
      <w:r w:rsidR="00926485">
        <w:rPr>
          <w:lang w:val="cs-CZ"/>
        </w:rPr>
        <w:t>n</w:t>
      </w:r>
      <w:r w:rsidR="000F74F5" w:rsidRPr="00926485">
        <w:rPr>
          <w:lang w:val="cs-CZ"/>
        </w:rPr>
        <w:t xml:space="preserve">edbalosti) nebo 10.5.2 (Neexistence </w:t>
      </w:r>
      <w:r w:rsidR="00926485">
        <w:rPr>
          <w:lang w:val="cs-CZ"/>
        </w:rPr>
        <w:t>v</w:t>
      </w:r>
      <w:r w:rsidR="000F74F5" w:rsidRPr="00926485">
        <w:rPr>
          <w:lang w:val="cs-CZ"/>
        </w:rPr>
        <w:t xml:space="preserve">ýznamného </w:t>
      </w:r>
      <w:r w:rsidR="00926485">
        <w:rPr>
          <w:lang w:val="cs-CZ"/>
        </w:rPr>
        <w:t>z</w:t>
      </w:r>
      <w:r w:rsidR="000F74F5" w:rsidRPr="00926485">
        <w:rPr>
          <w:lang w:val="cs-CZ"/>
        </w:rPr>
        <w:t xml:space="preserve">avinění nebo </w:t>
      </w:r>
      <w:r w:rsidR="00926485">
        <w:rPr>
          <w:lang w:val="cs-CZ"/>
        </w:rPr>
        <w:t>v</w:t>
      </w:r>
      <w:r w:rsidR="000F74F5" w:rsidRPr="00926485">
        <w:rPr>
          <w:lang w:val="cs-CZ"/>
        </w:rPr>
        <w:t>ýznamné nedbalosti) umož</w:t>
      </w:r>
      <w:r w:rsidR="00926485">
        <w:rPr>
          <w:lang w:val="cs-CZ"/>
        </w:rPr>
        <w:t>ň</w:t>
      </w:r>
      <w:r w:rsidR="000F74F5" w:rsidRPr="00926485">
        <w:rPr>
          <w:lang w:val="cs-CZ"/>
        </w:rPr>
        <w:t xml:space="preserve">ující </w:t>
      </w:r>
      <w:r w:rsidR="00926485">
        <w:rPr>
          <w:lang w:val="cs-CZ"/>
        </w:rPr>
        <w:t>zkrátit</w:t>
      </w:r>
      <w:r w:rsidR="000F74F5" w:rsidRPr="00926485">
        <w:rPr>
          <w:lang w:val="cs-CZ"/>
        </w:rPr>
        <w:t xml:space="preserve"> délk</w:t>
      </w:r>
      <w:r w:rsidR="00926485">
        <w:rPr>
          <w:lang w:val="cs-CZ"/>
        </w:rPr>
        <w:t>u</w:t>
      </w:r>
      <w:r w:rsidR="000F74F5" w:rsidRPr="00926485">
        <w:rPr>
          <w:lang w:val="cs-CZ"/>
        </w:rPr>
        <w:t xml:space="preserve"> trestu, a stanovil tedy standartní zákaz činnosti na období dvou let. </w:t>
      </w:r>
    </w:p>
    <w:p w:rsidR="00536723" w:rsidRPr="00974FFF" w:rsidRDefault="00536723">
      <w:pPr>
        <w:pStyle w:val="Zkladntext"/>
        <w:rPr>
          <w:sz w:val="26"/>
          <w:lang w:val="cs-CZ"/>
        </w:rPr>
      </w:pPr>
    </w:p>
    <w:p w:rsidR="00536723" w:rsidRPr="00974FFF" w:rsidRDefault="00536723">
      <w:pPr>
        <w:pStyle w:val="Zkladntext"/>
        <w:spacing w:before="5"/>
        <w:rPr>
          <w:sz w:val="20"/>
          <w:lang w:val="cs-CZ"/>
        </w:rPr>
      </w:pPr>
    </w:p>
    <w:p w:rsidR="00536723" w:rsidRPr="00974FFF" w:rsidRDefault="00794284">
      <w:pPr>
        <w:pStyle w:val="Nadpis1"/>
        <w:rPr>
          <w:lang w:val="cs-CZ"/>
        </w:rPr>
      </w:pPr>
      <w:r w:rsidRPr="00974FFF">
        <w:rPr>
          <w:lang w:val="cs-CZ"/>
        </w:rPr>
        <w:t xml:space="preserve">Kontext </w:t>
      </w:r>
    </w:p>
    <w:p w:rsidR="00536723" w:rsidRPr="00974FFF" w:rsidRDefault="00536723">
      <w:pPr>
        <w:pStyle w:val="Zkladntext"/>
        <w:spacing w:before="9"/>
        <w:rPr>
          <w:b/>
          <w:sz w:val="30"/>
          <w:lang w:val="cs-CZ"/>
        </w:rPr>
      </w:pPr>
    </w:p>
    <w:p w:rsidR="0087456A" w:rsidRPr="00974FFF" w:rsidRDefault="0087456A">
      <w:pPr>
        <w:pStyle w:val="Zkladntext"/>
        <w:spacing w:line="360" w:lineRule="auto"/>
        <w:ind w:left="120" w:right="114"/>
        <w:jc w:val="both"/>
        <w:rPr>
          <w:lang w:val="cs-CZ"/>
        </w:rPr>
      </w:pPr>
      <w:r w:rsidRPr="00974FFF">
        <w:rPr>
          <w:lang w:val="cs-CZ"/>
        </w:rPr>
        <w:t>Hráč J, profesionální hráč ligy r</w:t>
      </w:r>
      <w:r w:rsidR="004C2E42">
        <w:rPr>
          <w:lang w:val="cs-CZ"/>
        </w:rPr>
        <w:t>a</w:t>
      </w:r>
      <w:r w:rsidRPr="00974FFF">
        <w:rPr>
          <w:lang w:val="cs-CZ"/>
        </w:rPr>
        <w:t>gby, byl obviněn z porušení dopingových pravidel dle Článku 2.1 za pozitivní laboratorní nález na přítomnost metylhexanaminu (MHA). Hráč porušení pravidel při</w:t>
      </w:r>
      <w:r w:rsidR="004C2E42">
        <w:rPr>
          <w:lang w:val="cs-CZ"/>
        </w:rPr>
        <w:t>znal</w:t>
      </w:r>
      <w:r w:rsidRPr="00974FFF">
        <w:rPr>
          <w:lang w:val="cs-CZ"/>
        </w:rPr>
        <w:t xml:space="preserve">, ale žádal o snížení trestu </w:t>
      </w:r>
      <w:r w:rsidR="004C2E42">
        <w:rPr>
          <w:lang w:val="cs-CZ"/>
        </w:rPr>
        <w:t>s využitím</w:t>
      </w:r>
      <w:r w:rsidRPr="00974FFF">
        <w:rPr>
          <w:lang w:val="cs-CZ"/>
        </w:rPr>
        <w:t xml:space="preserve"> Článků 10.4, 10.5.1 a 10.5.2. Hráč J vysvětlil, že </w:t>
      </w:r>
      <w:r w:rsidR="004C2E42">
        <w:rPr>
          <w:lang w:val="cs-CZ"/>
        </w:rPr>
        <w:t>si koupi</w:t>
      </w:r>
      <w:r w:rsidRPr="00974FFF">
        <w:rPr>
          <w:lang w:val="cs-CZ"/>
        </w:rPr>
        <w:t xml:space="preserve">l </w:t>
      </w:r>
      <w:r w:rsidR="004C2E42">
        <w:rPr>
          <w:lang w:val="cs-CZ"/>
        </w:rPr>
        <w:t xml:space="preserve">doplněk </w:t>
      </w:r>
      <w:r w:rsidR="004C2E42" w:rsidRPr="00014AC6">
        <w:rPr>
          <w:lang w:val="cs-CZ"/>
        </w:rPr>
        <w:t xml:space="preserve">Oxy Elite Pro </w:t>
      </w:r>
      <w:r w:rsidRPr="00974FFF">
        <w:rPr>
          <w:lang w:val="cs-CZ"/>
        </w:rPr>
        <w:t xml:space="preserve">a užíval </w:t>
      </w:r>
      <w:r w:rsidR="004C2E42">
        <w:rPr>
          <w:lang w:val="cs-CZ"/>
        </w:rPr>
        <w:t xml:space="preserve">ho </w:t>
      </w:r>
      <w:r w:rsidRPr="00974FFF">
        <w:rPr>
          <w:lang w:val="cs-CZ"/>
        </w:rPr>
        <w:t xml:space="preserve">proti únavě </w:t>
      </w:r>
      <w:r w:rsidR="004C2E42">
        <w:rPr>
          <w:lang w:val="cs-CZ"/>
        </w:rPr>
        <w:t>vyvolané</w:t>
      </w:r>
      <w:r w:rsidRPr="00974FFF">
        <w:rPr>
          <w:lang w:val="cs-CZ"/>
        </w:rPr>
        <w:t xml:space="preserve"> dojížděním na trénink brzo ráno, ale že si neprověřil </w:t>
      </w:r>
      <w:r w:rsidR="004C2E42">
        <w:rPr>
          <w:lang w:val="cs-CZ"/>
        </w:rPr>
        <w:t xml:space="preserve">jeho </w:t>
      </w:r>
      <w:r w:rsidRPr="00974FFF">
        <w:rPr>
          <w:lang w:val="cs-CZ"/>
        </w:rPr>
        <w:t>složení. Hráč J uvedl, že daný doplněk předal kondičnímu trenérovi jejich klubu</w:t>
      </w:r>
      <w:r w:rsidR="004C2E42">
        <w:rPr>
          <w:lang w:val="cs-CZ"/>
        </w:rPr>
        <w:t>. Ten</w:t>
      </w:r>
      <w:r w:rsidRPr="00974FFF">
        <w:rPr>
          <w:lang w:val="cs-CZ"/>
        </w:rPr>
        <w:t xml:space="preserve"> provedl kontrolu látek obsažených v doplňku na internetu a na webové str</w:t>
      </w:r>
      <w:r w:rsidR="004C2E42">
        <w:rPr>
          <w:lang w:val="cs-CZ"/>
        </w:rPr>
        <w:t>á</w:t>
      </w:r>
      <w:r w:rsidRPr="00974FFF">
        <w:rPr>
          <w:lang w:val="cs-CZ"/>
        </w:rPr>
        <w:t xml:space="preserve">nce WADA, nabyl přesvědčení, že doplněk žádnou zakázanou látku neobsahuje, a vrátil jej tedy Hráči J k užívání.  </w:t>
      </w:r>
    </w:p>
    <w:p w:rsidR="00536723" w:rsidRPr="00974FFF" w:rsidRDefault="00536723">
      <w:pPr>
        <w:pStyle w:val="Zkladntext"/>
        <w:spacing w:line="360" w:lineRule="auto"/>
        <w:ind w:left="120" w:right="114"/>
        <w:jc w:val="both"/>
        <w:rPr>
          <w:lang w:val="cs-CZ"/>
        </w:rPr>
      </w:pPr>
    </w:p>
    <w:p w:rsidR="00536723" w:rsidRPr="00974FFF" w:rsidRDefault="00536723">
      <w:pPr>
        <w:spacing w:line="360" w:lineRule="auto"/>
        <w:jc w:val="both"/>
        <w:rPr>
          <w:lang w:val="cs-CZ"/>
        </w:rPr>
        <w:sectPr w:rsidR="00536723" w:rsidRPr="00974FFF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:rsidR="00536723" w:rsidRPr="00974FFF" w:rsidRDefault="00536723">
      <w:pPr>
        <w:pStyle w:val="Zkladntext"/>
        <w:rPr>
          <w:sz w:val="20"/>
          <w:lang w:val="cs-CZ"/>
        </w:rPr>
      </w:pPr>
    </w:p>
    <w:p w:rsidR="00536723" w:rsidRPr="00974FFF" w:rsidRDefault="00536723">
      <w:pPr>
        <w:pStyle w:val="Zkladntext"/>
        <w:spacing w:before="8"/>
        <w:rPr>
          <w:sz w:val="19"/>
          <w:lang w:val="cs-CZ"/>
        </w:rPr>
      </w:pPr>
    </w:p>
    <w:p w:rsidR="00536723" w:rsidRPr="00974FFF" w:rsidRDefault="0087456A">
      <w:pPr>
        <w:pStyle w:val="Nadpis1"/>
        <w:rPr>
          <w:lang w:val="cs-CZ"/>
        </w:rPr>
      </w:pPr>
      <w:r w:rsidRPr="00974FFF">
        <w:rPr>
          <w:lang w:val="cs-CZ"/>
        </w:rPr>
        <w:t xml:space="preserve">Zdůvodnění a rozhodnutí soudu </w:t>
      </w:r>
    </w:p>
    <w:p w:rsidR="00536723" w:rsidRPr="00974FFF" w:rsidRDefault="00536723">
      <w:pPr>
        <w:pStyle w:val="Zkladntext"/>
        <w:spacing w:before="8"/>
        <w:rPr>
          <w:b/>
          <w:sz w:val="30"/>
          <w:lang w:val="cs-CZ"/>
        </w:rPr>
      </w:pPr>
    </w:p>
    <w:p w:rsidR="00536723" w:rsidRPr="00974FFF" w:rsidRDefault="00C05D60">
      <w:pPr>
        <w:pStyle w:val="Zkladntext"/>
        <w:spacing w:line="360" w:lineRule="auto"/>
        <w:ind w:left="119" w:right="114"/>
        <w:jc w:val="both"/>
        <w:rPr>
          <w:lang w:val="cs-CZ"/>
        </w:rPr>
      </w:pPr>
      <w:r w:rsidRPr="00974FFF">
        <w:rPr>
          <w:lang w:val="cs-CZ"/>
        </w:rPr>
        <w:t xml:space="preserve">Po oznámení o obvinění Hráč J uvedl, že </w:t>
      </w:r>
      <w:r w:rsidR="004C2E42">
        <w:rPr>
          <w:lang w:val="cs-CZ"/>
        </w:rPr>
        <w:t xml:space="preserve">celou věc </w:t>
      </w:r>
      <w:r w:rsidRPr="00974FFF">
        <w:rPr>
          <w:lang w:val="cs-CZ"/>
        </w:rPr>
        <w:t xml:space="preserve">prověřil hlavní ředitel klubu, </w:t>
      </w:r>
      <w:r w:rsidR="00974FFF">
        <w:rPr>
          <w:lang w:val="cs-CZ"/>
        </w:rPr>
        <w:t>který</w:t>
      </w:r>
      <w:r w:rsidRPr="00974FFF">
        <w:rPr>
          <w:lang w:val="cs-CZ"/>
        </w:rPr>
        <w:t xml:space="preserve"> zjistil, že kondiční trenér </w:t>
      </w:r>
      <w:r w:rsidR="00974FFF">
        <w:rPr>
          <w:lang w:val="cs-CZ"/>
        </w:rPr>
        <w:t>zkontroloval</w:t>
      </w:r>
      <w:r w:rsidRPr="00974FFF">
        <w:rPr>
          <w:lang w:val="cs-CZ"/>
        </w:rPr>
        <w:t xml:space="preserve"> pouze Oddíl 1 až 5 Seznamu zakázaných látek, kde MHA v seznamu nenalezl. MHA je totiž uvedena v Oddíle 6 – Specifické látky. Vzhledem ke zkušenostem kondičního trenéra a jeho nedávné komunikac</w:t>
      </w:r>
      <w:r w:rsidR="004C2E42">
        <w:rPr>
          <w:lang w:val="cs-CZ"/>
        </w:rPr>
        <w:t>i</w:t>
      </w:r>
      <w:r w:rsidRPr="00974FFF">
        <w:rPr>
          <w:lang w:val="cs-CZ"/>
        </w:rPr>
        <w:t xml:space="preserve"> s RFL ohledně MHA má soud vážné pochybnosti, zda opravdu dané prověřování provedl (a kvůli své </w:t>
      </w:r>
      <w:r w:rsidR="004C2E42">
        <w:rPr>
          <w:lang w:val="cs-CZ"/>
        </w:rPr>
        <w:t>neschopnosti</w:t>
      </w:r>
      <w:r w:rsidRPr="00974FFF">
        <w:rPr>
          <w:lang w:val="cs-CZ"/>
        </w:rPr>
        <w:t xml:space="preserve"> MHA </w:t>
      </w:r>
      <w:r w:rsidR="004C2E42" w:rsidRPr="0046326E">
        <w:rPr>
          <w:lang w:val="cs-CZ"/>
        </w:rPr>
        <w:t>na seznamu</w:t>
      </w:r>
      <w:r w:rsidR="004C2E42" w:rsidRPr="00926485">
        <w:rPr>
          <w:lang w:val="cs-CZ"/>
        </w:rPr>
        <w:t xml:space="preserve"> </w:t>
      </w:r>
      <w:r w:rsidRPr="00974FFF">
        <w:rPr>
          <w:lang w:val="cs-CZ"/>
        </w:rPr>
        <w:t>nena</w:t>
      </w:r>
      <w:r w:rsidR="004C2E42">
        <w:rPr>
          <w:lang w:val="cs-CZ"/>
        </w:rPr>
        <w:t>šel</w:t>
      </w:r>
      <w:r w:rsidRPr="00974FFF">
        <w:rPr>
          <w:lang w:val="cs-CZ"/>
        </w:rPr>
        <w:t xml:space="preserve">) nebo zda </w:t>
      </w:r>
      <w:r w:rsidR="004C2E42">
        <w:rPr>
          <w:lang w:val="cs-CZ"/>
        </w:rPr>
        <w:t xml:space="preserve">si </w:t>
      </w:r>
      <w:r w:rsidRPr="00974FFF">
        <w:rPr>
          <w:lang w:val="cs-CZ"/>
        </w:rPr>
        <w:t>spíše tento důkaz</w:t>
      </w:r>
      <w:r w:rsidR="004C2E42" w:rsidRPr="004C2E42">
        <w:rPr>
          <w:lang w:val="cs-CZ"/>
        </w:rPr>
        <w:t xml:space="preserve"> </w:t>
      </w:r>
      <w:r w:rsidR="004C2E42" w:rsidRPr="00D55C45">
        <w:rPr>
          <w:lang w:val="cs-CZ"/>
        </w:rPr>
        <w:t>vymyslel</w:t>
      </w:r>
      <w:r w:rsidRPr="00974FFF">
        <w:rPr>
          <w:lang w:val="cs-CZ"/>
        </w:rPr>
        <w:t xml:space="preserve">, aby ochránil hráče. Jelikož ale UKAD </w:t>
      </w:r>
      <w:r w:rsidR="004C2E42">
        <w:rPr>
          <w:lang w:val="cs-CZ"/>
        </w:rPr>
        <w:t>netvrdila</w:t>
      </w:r>
      <w:r w:rsidRPr="00974FFF">
        <w:rPr>
          <w:lang w:val="cs-CZ"/>
        </w:rPr>
        <w:t>, že</w:t>
      </w:r>
      <w:r w:rsidR="004C2E42">
        <w:rPr>
          <w:lang w:val="cs-CZ"/>
        </w:rPr>
        <w:t xml:space="preserve"> by</w:t>
      </w:r>
      <w:r w:rsidRPr="00974FFF">
        <w:rPr>
          <w:lang w:val="cs-CZ"/>
        </w:rPr>
        <w:t xml:space="preserve"> si kondiční trenér daný důkaz vymyslel, aby ochránil hráče, soud přijal tvrzení, že </w:t>
      </w:r>
      <w:r w:rsidR="004C2E42" w:rsidRPr="00A55CA6">
        <w:rPr>
          <w:lang w:val="cs-CZ"/>
        </w:rPr>
        <w:t>se</w:t>
      </w:r>
      <w:r w:rsidR="004C2E42" w:rsidRPr="00926485">
        <w:rPr>
          <w:lang w:val="cs-CZ"/>
        </w:rPr>
        <w:t xml:space="preserve"> </w:t>
      </w:r>
      <w:r w:rsidRPr="00974FFF">
        <w:rPr>
          <w:lang w:val="cs-CZ"/>
        </w:rPr>
        <w:t>Hráč J poradil ve věci užívání doplňku</w:t>
      </w:r>
      <w:r w:rsidR="004C2E42" w:rsidRPr="004C2E42">
        <w:rPr>
          <w:lang w:val="cs-CZ"/>
        </w:rPr>
        <w:t xml:space="preserve"> </w:t>
      </w:r>
      <w:r w:rsidR="004C2E42" w:rsidRPr="000A32D5">
        <w:rPr>
          <w:lang w:val="cs-CZ"/>
        </w:rPr>
        <w:t xml:space="preserve">s kondičním </w:t>
      </w:r>
      <w:r w:rsidR="004C2E42">
        <w:rPr>
          <w:lang w:val="cs-CZ"/>
        </w:rPr>
        <w:t>trenérem</w:t>
      </w:r>
      <w:r w:rsidRPr="00974FFF">
        <w:rPr>
          <w:lang w:val="cs-CZ"/>
        </w:rPr>
        <w:t xml:space="preserve">. </w:t>
      </w:r>
    </w:p>
    <w:p w:rsidR="00536723" w:rsidRPr="00974FFF" w:rsidRDefault="00536723">
      <w:pPr>
        <w:pStyle w:val="Zkladntext"/>
        <w:spacing w:before="11"/>
        <w:rPr>
          <w:sz w:val="19"/>
          <w:lang w:val="cs-CZ"/>
        </w:rPr>
      </w:pPr>
    </w:p>
    <w:p w:rsidR="00536723" w:rsidRPr="00974FFF" w:rsidRDefault="00974FFF">
      <w:pPr>
        <w:pStyle w:val="Zkladntext"/>
        <w:spacing w:line="360" w:lineRule="auto"/>
        <w:ind w:left="119" w:right="116"/>
        <w:jc w:val="both"/>
        <w:rPr>
          <w:lang w:val="cs-CZ"/>
        </w:rPr>
      </w:pPr>
      <w:r>
        <w:rPr>
          <w:lang w:val="cs-CZ"/>
        </w:rPr>
        <w:t>C</w:t>
      </w:r>
      <w:r w:rsidRPr="00974FFF">
        <w:rPr>
          <w:lang w:val="cs-CZ"/>
        </w:rPr>
        <w:t>o se týče Článku 10.4</w:t>
      </w:r>
      <w:r>
        <w:rPr>
          <w:rStyle w:val="Odkaznavysvtlivky"/>
          <w:lang w:val="cs-CZ"/>
        </w:rPr>
        <w:endnoteReference w:id="1"/>
      </w:r>
      <w:r>
        <w:rPr>
          <w:lang w:val="cs-CZ"/>
        </w:rPr>
        <w:t>, s</w:t>
      </w:r>
      <w:r w:rsidR="00C05D60" w:rsidRPr="00974FFF">
        <w:rPr>
          <w:lang w:val="cs-CZ"/>
        </w:rPr>
        <w:t>oud došel k závěru, že Hráč J nepředložil příslušné důkazy, které by potvrzovaly způsobem pro soud uspokojivým, že nedošlo k záměrnému jednání za účelem zlepšení sportovního výkonu (svědectví kondičního trenéra bylo pov</w:t>
      </w:r>
      <w:r w:rsidR="004C2E42">
        <w:rPr>
          <w:lang w:val="cs-CZ"/>
        </w:rPr>
        <w:t>a</w:t>
      </w:r>
      <w:r w:rsidR="00C05D60" w:rsidRPr="00974FFF">
        <w:rPr>
          <w:lang w:val="cs-CZ"/>
        </w:rPr>
        <w:t xml:space="preserve">žováno za nespolehlivé). </w:t>
      </w:r>
      <w:r w:rsidR="008F36DC" w:rsidRPr="00974FFF">
        <w:rPr>
          <w:lang w:val="cs-CZ"/>
        </w:rPr>
        <w:t xml:space="preserve">Soud rovněž došel k závěru, že Hráč J neprokázal Neexistenci zavinění nebo nedbalosti ani Neexistenci nevýznamného zavinění nebo nevýznamné nedbalosti. Soud zdůraznil, že každý hráč má osobní povinnost dodržovat dopingová pravidla a také </w:t>
      </w:r>
      <w:r w:rsidR="00F571CF">
        <w:rPr>
          <w:lang w:val="cs-CZ"/>
        </w:rPr>
        <w:t xml:space="preserve">upozornil na </w:t>
      </w:r>
      <w:r w:rsidR="008F36DC" w:rsidRPr="00974FFF">
        <w:rPr>
          <w:lang w:val="cs-CZ"/>
        </w:rPr>
        <w:t>skutečnost, že není možné se této povinnosti zprostit pře</w:t>
      </w:r>
      <w:r>
        <w:rPr>
          <w:lang w:val="cs-CZ"/>
        </w:rPr>
        <w:t>nesením</w:t>
      </w:r>
      <w:r w:rsidR="008F36DC" w:rsidRPr="00974FFF">
        <w:rPr>
          <w:lang w:val="cs-CZ"/>
        </w:rPr>
        <w:t xml:space="preserve"> odpovědnosti za kontrolu na někoho jiného. Rovněž </w:t>
      </w:r>
      <w:r w:rsidR="00F571CF">
        <w:rPr>
          <w:lang w:val="cs-CZ"/>
        </w:rPr>
        <w:t>uvedl</w:t>
      </w:r>
      <w:r w:rsidR="008F36DC" w:rsidRPr="00974FFF">
        <w:rPr>
          <w:lang w:val="cs-CZ"/>
        </w:rPr>
        <w:t>, že Hráč J nebyl dostatečně aktivní při prověřování daného výživového doplňku.</w:t>
      </w:r>
    </w:p>
    <w:p w:rsidR="00536723" w:rsidRPr="00974FFF" w:rsidRDefault="00536723">
      <w:pPr>
        <w:pStyle w:val="Zkladntext"/>
        <w:spacing w:before="6"/>
        <w:rPr>
          <w:sz w:val="19"/>
          <w:lang w:val="cs-CZ"/>
        </w:rPr>
      </w:pPr>
    </w:p>
    <w:p w:rsidR="00536723" w:rsidRPr="00974FFF" w:rsidRDefault="00201A9E">
      <w:pPr>
        <w:pStyle w:val="Zkladntext"/>
        <w:spacing w:before="1" w:line="360" w:lineRule="auto"/>
        <w:ind w:left="120" w:right="115" w:hanging="1"/>
        <w:jc w:val="both"/>
        <w:rPr>
          <w:lang w:val="cs-CZ"/>
        </w:rPr>
      </w:pPr>
      <w:r w:rsidRPr="00974FFF">
        <w:rPr>
          <w:lang w:val="cs-CZ"/>
        </w:rPr>
        <w:t xml:space="preserve">Hráč J tedy neměl nárok na snížení délky trestu podle Článků 10.5.1 (Neexistence </w:t>
      </w:r>
      <w:r w:rsidR="00F571CF">
        <w:rPr>
          <w:lang w:val="cs-CZ"/>
        </w:rPr>
        <w:t>z</w:t>
      </w:r>
      <w:r w:rsidRPr="00974FFF">
        <w:rPr>
          <w:lang w:val="cs-CZ"/>
        </w:rPr>
        <w:t xml:space="preserve">avinění nebo </w:t>
      </w:r>
      <w:r w:rsidR="00F571CF">
        <w:rPr>
          <w:lang w:val="cs-CZ"/>
        </w:rPr>
        <w:t>n</w:t>
      </w:r>
      <w:r w:rsidRPr="00974FFF">
        <w:rPr>
          <w:lang w:val="cs-CZ"/>
        </w:rPr>
        <w:t xml:space="preserve">edbalosti) nebo 10.5.2 (Neexistence </w:t>
      </w:r>
      <w:r w:rsidR="00F571CF">
        <w:rPr>
          <w:lang w:val="cs-CZ"/>
        </w:rPr>
        <w:t>v</w:t>
      </w:r>
      <w:r w:rsidRPr="00974FFF">
        <w:rPr>
          <w:lang w:val="cs-CZ"/>
        </w:rPr>
        <w:t xml:space="preserve">ýznamného </w:t>
      </w:r>
      <w:r w:rsidR="00F571CF">
        <w:rPr>
          <w:lang w:val="cs-CZ"/>
        </w:rPr>
        <w:t>z</w:t>
      </w:r>
      <w:r w:rsidRPr="00974FFF">
        <w:rPr>
          <w:lang w:val="cs-CZ"/>
        </w:rPr>
        <w:t xml:space="preserve">avinění nebo </w:t>
      </w:r>
      <w:r w:rsidR="00F571CF">
        <w:rPr>
          <w:lang w:val="cs-CZ"/>
        </w:rPr>
        <w:t>v</w:t>
      </w:r>
      <w:r w:rsidRPr="00974FFF">
        <w:rPr>
          <w:lang w:val="cs-CZ"/>
        </w:rPr>
        <w:t xml:space="preserve">ýznamné nedbalosti). </w:t>
      </w:r>
      <w:r w:rsidR="00F571CF">
        <w:rPr>
          <w:lang w:val="cs-CZ"/>
        </w:rPr>
        <w:t>S</w:t>
      </w:r>
      <w:r w:rsidRPr="00974FFF">
        <w:rPr>
          <w:lang w:val="cs-CZ"/>
        </w:rPr>
        <w:t>tandartní trest za první porušení pravidel – zákaz činnosti na období dvou let</w:t>
      </w:r>
      <w:r w:rsidR="00F571CF">
        <w:rPr>
          <w:lang w:val="cs-CZ"/>
        </w:rPr>
        <w:t xml:space="preserve"> – byl udělen správně</w:t>
      </w:r>
      <w:r w:rsidRPr="00974FFF">
        <w:rPr>
          <w:lang w:val="cs-CZ"/>
        </w:rPr>
        <w:t xml:space="preserve">. </w:t>
      </w:r>
    </w:p>
    <w:p w:rsidR="00536723" w:rsidRPr="00974FFF" w:rsidRDefault="00536723">
      <w:pPr>
        <w:pStyle w:val="Zkladntext"/>
        <w:rPr>
          <w:sz w:val="26"/>
          <w:lang w:val="cs-CZ"/>
        </w:rPr>
      </w:pPr>
    </w:p>
    <w:p w:rsidR="00536723" w:rsidRPr="00974FFF" w:rsidRDefault="00536723">
      <w:pPr>
        <w:pStyle w:val="Zkladntext"/>
        <w:rPr>
          <w:sz w:val="26"/>
          <w:lang w:val="cs-CZ"/>
        </w:rPr>
      </w:pPr>
    </w:p>
    <w:p w:rsidR="00536723" w:rsidRPr="00974FFF" w:rsidRDefault="00536723">
      <w:pPr>
        <w:pStyle w:val="Zkladntext"/>
        <w:spacing w:before="7"/>
        <w:rPr>
          <w:sz w:val="20"/>
          <w:lang w:val="cs-CZ"/>
        </w:rPr>
      </w:pPr>
    </w:p>
    <w:p w:rsidR="00536723" w:rsidRPr="00974FFF" w:rsidRDefault="00201A9E">
      <w:pPr>
        <w:pStyle w:val="Nadpis1"/>
        <w:jc w:val="both"/>
        <w:rPr>
          <w:lang w:val="cs-CZ"/>
        </w:rPr>
      </w:pPr>
      <w:r w:rsidRPr="00974FFF">
        <w:rPr>
          <w:lang w:val="cs-CZ"/>
        </w:rPr>
        <w:t xml:space="preserve">Poučení </w:t>
      </w:r>
    </w:p>
    <w:p w:rsidR="00536723" w:rsidRPr="00974FFF" w:rsidRDefault="00536723">
      <w:pPr>
        <w:pStyle w:val="Zkladntext"/>
        <w:rPr>
          <w:b/>
          <w:sz w:val="20"/>
          <w:lang w:val="cs-CZ"/>
        </w:rPr>
      </w:pPr>
    </w:p>
    <w:p w:rsidR="00536723" w:rsidRPr="00974FFF" w:rsidRDefault="00536723">
      <w:pPr>
        <w:pStyle w:val="Zkladntext"/>
        <w:rPr>
          <w:b/>
          <w:sz w:val="20"/>
          <w:lang w:val="cs-CZ"/>
        </w:rPr>
      </w:pPr>
    </w:p>
    <w:p w:rsidR="00536723" w:rsidRPr="00974FFF" w:rsidRDefault="00536723">
      <w:pPr>
        <w:pStyle w:val="Zkladntext"/>
        <w:rPr>
          <w:b/>
          <w:sz w:val="20"/>
          <w:lang w:val="cs-CZ"/>
        </w:rPr>
      </w:pPr>
    </w:p>
    <w:p w:rsidR="00536723" w:rsidRPr="00974FFF" w:rsidRDefault="00C87891">
      <w:pPr>
        <w:pStyle w:val="Odstavecseseznamem"/>
        <w:numPr>
          <w:ilvl w:val="0"/>
          <w:numId w:val="1"/>
        </w:numPr>
        <w:tabs>
          <w:tab w:val="left" w:pos="841"/>
        </w:tabs>
        <w:spacing w:before="81" w:line="360" w:lineRule="auto"/>
        <w:ind w:right="119" w:hanging="360"/>
        <w:rPr>
          <w:lang w:val="cs-CZ"/>
        </w:rPr>
      </w:pPr>
      <w:bookmarkStart w:id="1" w:name="_bookmark0"/>
      <w:bookmarkEnd w:id="1"/>
      <w:r w:rsidRPr="00974FFF">
        <w:rPr>
          <w:lang w:val="cs-CZ"/>
        </w:rPr>
        <w:t xml:space="preserve">Sportovec obviněný za pozitivní laboratorní nález musí předložit uspokojivé důkazy k prokázání, že nedošlo k Záměru zlepšit výkon. Pouhé prohlášení v tomto smyslu není postačující. Sportovec musí soud přesvědčit </w:t>
      </w:r>
      <w:r w:rsidR="00F571CF">
        <w:rPr>
          <w:lang w:val="cs-CZ"/>
        </w:rPr>
        <w:t>„</w:t>
      </w:r>
      <w:r w:rsidRPr="00974FFF">
        <w:rPr>
          <w:lang w:val="cs-CZ"/>
        </w:rPr>
        <w:t>způsobem pro soud uspokojivým</w:t>
      </w:r>
      <w:r w:rsidR="00F571CF">
        <w:rPr>
          <w:lang w:val="cs-CZ"/>
        </w:rPr>
        <w:t>“</w:t>
      </w:r>
      <w:r w:rsidRPr="00974FFF">
        <w:rPr>
          <w:lang w:val="cs-CZ"/>
        </w:rPr>
        <w:t xml:space="preserve">, což je vyšší úroveň dokazování než </w:t>
      </w:r>
      <w:r w:rsidR="00F571CF">
        <w:rPr>
          <w:lang w:val="cs-CZ"/>
        </w:rPr>
        <w:t xml:space="preserve">„na základě </w:t>
      </w:r>
      <w:r w:rsidRPr="00974FFF">
        <w:rPr>
          <w:lang w:val="cs-CZ"/>
        </w:rPr>
        <w:t>mír</w:t>
      </w:r>
      <w:r w:rsidR="00F571CF" w:rsidRPr="00974FFF">
        <w:rPr>
          <w:lang w:val="cs-CZ"/>
        </w:rPr>
        <w:t>y</w:t>
      </w:r>
      <w:r w:rsidRPr="00974FFF">
        <w:rPr>
          <w:lang w:val="cs-CZ"/>
        </w:rPr>
        <w:t xml:space="preserve"> pravděpodobnosti</w:t>
      </w:r>
      <w:r w:rsidR="00F571CF" w:rsidRPr="00974FFF">
        <w:rPr>
          <w:lang w:val="cs-CZ"/>
        </w:rPr>
        <w:t>“</w:t>
      </w:r>
      <w:r w:rsidRPr="00974FFF">
        <w:rPr>
          <w:lang w:val="cs-CZ"/>
        </w:rPr>
        <w:t xml:space="preserve">.   </w:t>
      </w:r>
    </w:p>
    <w:p w:rsidR="00536723" w:rsidRPr="00974FFF" w:rsidRDefault="00536723">
      <w:pPr>
        <w:pStyle w:val="Zkladntext"/>
        <w:spacing w:before="9"/>
        <w:rPr>
          <w:sz w:val="32"/>
          <w:lang w:val="cs-CZ"/>
        </w:rPr>
      </w:pPr>
    </w:p>
    <w:p w:rsidR="00122F0D" w:rsidRPr="00244C1D" w:rsidRDefault="00122F0D" w:rsidP="00974FFF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hanging="360"/>
        <w:rPr>
          <w:lang w:val="cs-CZ"/>
        </w:rPr>
      </w:pPr>
      <w:r w:rsidRPr="00244C1D">
        <w:rPr>
          <w:lang w:val="cs-CZ"/>
        </w:rPr>
        <w:lastRenderedPageBreak/>
        <w:t xml:space="preserve">Každý hráč má osobní povinnost prověřit si užívané doplňky. </w:t>
      </w:r>
      <w:r w:rsidR="00051210" w:rsidRPr="00244C1D">
        <w:rPr>
          <w:lang w:val="cs-CZ"/>
        </w:rPr>
        <w:t>I v případech, kdy sportovci tuto povinnost delegují na podpůrný personál, st</w:t>
      </w:r>
      <w:r w:rsidR="00F571CF" w:rsidRPr="00244C1D">
        <w:rPr>
          <w:lang w:val="cs-CZ"/>
        </w:rPr>
        <w:t>á</w:t>
      </w:r>
      <w:r w:rsidR="00051210" w:rsidRPr="00244C1D">
        <w:rPr>
          <w:lang w:val="cs-CZ"/>
        </w:rPr>
        <w:t>le nesou zodpověd</w:t>
      </w:r>
      <w:r w:rsidR="00F571CF" w:rsidRPr="00244C1D">
        <w:rPr>
          <w:lang w:val="cs-CZ"/>
        </w:rPr>
        <w:t>n</w:t>
      </w:r>
      <w:r w:rsidR="00051210" w:rsidRPr="00244C1D">
        <w:rPr>
          <w:lang w:val="cs-CZ"/>
        </w:rPr>
        <w:t>ost</w:t>
      </w:r>
      <w:r w:rsidR="00F571CF" w:rsidRPr="00244C1D">
        <w:rPr>
          <w:lang w:val="cs-CZ"/>
        </w:rPr>
        <w:t xml:space="preserve"> </w:t>
      </w:r>
      <w:r w:rsidR="00051210" w:rsidRPr="00244C1D">
        <w:rPr>
          <w:lang w:val="cs-CZ"/>
        </w:rPr>
        <w:t>za látky vstupující do jejich organismu. V tomto ohledu musí sportovci zajistit, že budou prověřeny opravdu všechny aspekty</w:t>
      </w:r>
      <w:r w:rsidR="00F571CF" w:rsidRPr="00244C1D">
        <w:rPr>
          <w:lang w:val="cs-CZ"/>
        </w:rPr>
        <w:t xml:space="preserve">. </w:t>
      </w:r>
      <w:r w:rsidR="00051210" w:rsidRPr="00244C1D">
        <w:rPr>
          <w:lang w:val="cs-CZ"/>
        </w:rPr>
        <w:t xml:space="preserve"> </w:t>
      </w:r>
    </w:p>
    <w:p w:rsidR="00536723" w:rsidRPr="00974FFF" w:rsidRDefault="00536723" w:rsidP="00974FFF">
      <w:pPr>
        <w:pStyle w:val="Odstavecseseznamem"/>
        <w:tabs>
          <w:tab w:val="left" w:pos="841"/>
        </w:tabs>
        <w:spacing w:line="360" w:lineRule="auto"/>
        <w:ind w:firstLine="0"/>
        <w:rPr>
          <w:lang w:val="cs-CZ"/>
        </w:rPr>
      </w:pPr>
    </w:p>
    <w:p w:rsidR="00536723" w:rsidRPr="00974FFF" w:rsidRDefault="00536723">
      <w:pPr>
        <w:pStyle w:val="Zkladntext"/>
        <w:rPr>
          <w:sz w:val="26"/>
          <w:lang w:val="cs-CZ"/>
        </w:rPr>
      </w:pPr>
    </w:p>
    <w:p w:rsidR="00536723" w:rsidRPr="00974FFF" w:rsidRDefault="00F571CF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right="118" w:hanging="360"/>
        <w:rPr>
          <w:lang w:val="cs-CZ"/>
        </w:rPr>
      </w:pPr>
      <w:r>
        <w:rPr>
          <w:lang w:val="cs-CZ"/>
        </w:rPr>
        <w:t>Pokud s</w:t>
      </w:r>
      <w:r w:rsidR="006371AC" w:rsidRPr="00974FFF">
        <w:rPr>
          <w:lang w:val="cs-CZ"/>
        </w:rPr>
        <w:t>portovci neprovedou aspoň základní prověření doplňků, u nichž se později zjistí obsah zakázané látky, s nejvyšší pravděpodobností nebudou moci využít Článku 10.5.2 (Neexistence významného zavinění nebo významné nedbalosti)</w:t>
      </w:r>
      <w:r w:rsidR="00DA6F4B" w:rsidRPr="00974FFF">
        <w:rPr>
          <w:lang w:val="cs-CZ"/>
        </w:rPr>
        <w:t>.</w:t>
      </w:r>
      <w:r w:rsidR="006371AC" w:rsidRPr="00974FFF">
        <w:rPr>
          <w:lang w:val="cs-CZ"/>
        </w:rPr>
        <w:t xml:space="preserve">  </w:t>
      </w:r>
    </w:p>
    <w:sectPr w:rsidR="00536723" w:rsidRPr="00974FFF">
      <w:endnotePr>
        <w:numFmt w:val="decimal"/>
      </w:endnotePr>
      <w:pgSz w:w="11910" w:h="16840"/>
      <w:pgMar w:top="1340" w:right="13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AF" w:rsidRDefault="00A854AF" w:rsidP="00974FFF">
      <w:r>
        <w:separator/>
      </w:r>
    </w:p>
  </w:endnote>
  <w:endnote w:type="continuationSeparator" w:id="0">
    <w:p w:rsidR="00A854AF" w:rsidRDefault="00A854AF" w:rsidP="00974FFF">
      <w:r>
        <w:continuationSeparator/>
      </w:r>
    </w:p>
  </w:endnote>
  <w:endnote w:id="1">
    <w:p w:rsidR="00974FFF" w:rsidRPr="00974FFF" w:rsidRDefault="00974FFF">
      <w:pPr>
        <w:pStyle w:val="Textvysvtlivek"/>
        <w:rPr>
          <w:lang w:val="cs-CZ"/>
        </w:rPr>
      </w:pPr>
      <w:r w:rsidRPr="00974FFF">
        <w:rPr>
          <w:rStyle w:val="Odkaznavysvtlivky"/>
          <w:lang w:val="cs-CZ"/>
        </w:rPr>
        <w:endnoteRef/>
      </w:r>
      <w:r w:rsidRPr="00974FFF">
        <w:rPr>
          <w:lang w:val="cs-CZ"/>
        </w:rPr>
        <w:t xml:space="preserve"> Článek 10.4 byl v novém znění UK Anti-Doping Rules 2015 nahrazen.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AF" w:rsidRDefault="00A854AF" w:rsidP="00974FFF">
      <w:r>
        <w:separator/>
      </w:r>
    </w:p>
  </w:footnote>
  <w:footnote w:type="continuationSeparator" w:id="0">
    <w:p w:rsidR="00A854AF" w:rsidRDefault="00A854AF" w:rsidP="0097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565B"/>
    <w:multiLevelType w:val="hybridMultilevel"/>
    <w:tmpl w:val="2F789CB2"/>
    <w:lvl w:ilvl="0" w:tplc="E68C2A8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2CA509A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741E358C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A2A4DD62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86001008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6748BBD2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F22C3DB6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03A2AC24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70922A84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3"/>
    <w:rsid w:val="00051210"/>
    <w:rsid w:val="000B418B"/>
    <w:rsid w:val="000F74F5"/>
    <w:rsid w:val="00122F0D"/>
    <w:rsid w:val="00201A9E"/>
    <w:rsid w:val="00244C1D"/>
    <w:rsid w:val="004976EF"/>
    <w:rsid w:val="004C2E42"/>
    <w:rsid w:val="00536723"/>
    <w:rsid w:val="00631517"/>
    <w:rsid w:val="006371AC"/>
    <w:rsid w:val="00656C2F"/>
    <w:rsid w:val="007447DA"/>
    <w:rsid w:val="00794284"/>
    <w:rsid w:val="007D21A8"/>
    <w:rsid w:val="00810790"/>
    <w:rsid w:val="0087456A"/>
    <w:rsid w:val="008F36DC"/>
    <w:rsid w:val="00926485"/>
    <w:rsid w:val="00974FFF"/>
    <w:rsid w:val="00A854AF"/>
    <w:rsid w:val="00C05D60"/>
    <w:rsid w:val="00C87891"/>
    <w:rsid w:val="00DA6F4B"/>
    <w:rsid w:val="00F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87EC-DA41-429E-9A99-51AA8F7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64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85"/>
    <w:rPr>
      <w:rFonts w:ascii="Segoe UI" w:eastAsia="Verdana" w:hAnsi="Segoe UI" w:cs="Segoe UI"/>
      <w:sz w:val="18"/>
      <w:szCs w:val="18"/>
      <w:lang w:val="en-GB" w:eastAsia="en-GB" w:bidi="en-GB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4F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4FFF"/>
    <w:rPr>
      <w:rFonts w:ascii="Verdana" w:eastAsia="Verdana" w:hAnsi="Verdana" w:cs="Verdana"/>
      <w:sz w:val="20"/>
      <w:szCs w:val="20"/>
      <w:lang w:val="en-GB" w:eastAsia="en-GB" w:bidi="en-GB"/>
    </w:rPr>
  </w:style>
  <w:style w:type="character" w:styleId="Odkaznavysvtlivky">
    <w:name w:val="endnote reference"/>
    <w:basedOn w:val="Standardnpsmoodstavce"/>
    <w:uiPriority w:val="99"/>
    <w:semiHidden/>
    <w:unhideWhenUsed/>
    <w:rsid w:val="00974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99CF-1BB7-4CCB-A83A-35C8FEB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</dc:creator>
  <cp:lastModifiedBy>Jiří Mališ</cp:lastModifiedBy>
  <cp:revision>15</cp:revision>
  <dcterms:created xsi:type="dcterms:W3CDTF">2018-12-17T09:57:00Z</dcterms:created>
  <dcterms:modified xsi:type="dcterms:W3CDTF">2019-02-03T09:50:00Z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2018-10-16T00:00:00Z</vt:filetime>
  </property>
</Properties>
</file>