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43" w:rsidRDefault="006A2043" w:rsidP="00FB0B7B">
      <w:pPr>
        <w:pStyle w:val="Zkladntext"/>
        <w:spacing w:before="32" w:line="252" w:lineRule="auto"/>
        <w:ind w:left="5402" w:right="105" w:hanging="624"/>
        <w:jc w:val="right"/>
        <w:rPr>
          <w:rFonts w:ascii="Trebuchet MS"/>
          <w:w w:val="95"/>
          <w:lang w:val="cs-CZ"/>
        </w:rPr>
      </w:pPr>
      <w:r>
        <w:rPr>
          <w:rFonts w:ascii="Trebuchet MS"/>
          <w:w w:val="95"/>
          <w:lang w:val="cs-CZ"/>
        </w:rPr>
        <w:t>Rozhodnut</w:t>
      </w:r>
      <w:r>
        <w:rPr>
          <w:rFonts w:ascii="Trebuchet MS"/>
          <w:w w:val="95"/>
          <w:lang w:val="cs-CZ"/>
        </w:rPr>
        <w:t>í</w:t>
      </w:r>
      <w:r>
        <w:rPr>
          <w:rFonts w:ascii="Trebuchet MS"/>
          <w:w w:val="95"/>
          <w:lang w:val="cs-CZ"/>
        </w:rPr>
        <w:t xml:space="preserve"> Nez</w:t>
      </w:r>
      <w:r>
        <w:rPr>
          <w:rFonts w:ascii="Trebuchet MS"/>
          <w:w w:val="95"/>
          <w:lang w:val="cs-CZ"/>
        </w:rPr>
        <w:t>á</w:t>
      </w:r>
      <w:r>
        <w:rPr>
          <w:rFonts w:ascii="Trebuchet MS"/>
          <w:w w:val="95"/>
          <w:lang w:val="cs-CZ"/>
        </w:rPr>
        <w:t>visl</w:t>
      </w:r>
      <w:r>
        <w:rPr>
          <w:rFonts w:ascii="Trebuchet MS"/>
          <w:w w:val="95"/>
          <w:lang w:val="cs-CZ"/>
        </w:rPr>
        <w:t>é</w:t>
      </w:r>
      <w:r>
        <w:rPr>
          <w:rFonts w:ascii="Trebuchet MS"/>
          <w:w w:val="95"/>
          <w:lang w:val="cs-CZ"/>
        </w:rPr>
        <w:t xml:space="preserve">ho soudu (listopad </w:t>
      </w:r>
      <w:r w:rsidR="00463C62" w:rsidRPr="00FB0B7B">
        <w:rPr>
          <w:rFonts w:ascii="Trebuchet MS"/>
          <w:w w:val="95"/>
          <w:lang w:val="cs-CZ"/>
        </w:rPr>
        <w:t xml:space="preserve">2017) </w:t>
      </w:r>
    </w:p>
    <w:p w:rsidR="00070F6A" w:rsidRPr="00FB0B7B" w:rsidRDefault="006A2043" w:rsidP="00FB0B7B">
      <w:pPr>
        <w:pStyle w:val="Zkladntext"/>
        <w:spacing w:before="32" w:line="252" w:lineRule="auto"/>
        <w:ind w:left="5402" w:right="105" w:hanging="624"/>
        <w:jc w:val="right"/>
        <w:rPr>
          <w:rFonts w:ascii="Trebuchet MS"/>
          <w:lang w:val="cs-CZ"/>
        </w:rPr>
      </w:pPr>
      <w:r>
        <w:rPr>
          <w:rFonts w:ascii="Trebuchet MS"/>
          <w:w w:val="95"/>
          <w:lang w:val="cs-CZ"/>
        </w:rPr>
        <w:t>ITF v</w:t>
      </w:r>
      <w:r>
        <w:rPr>
          <w:rFonts w:ascii="Trebuchet MS"/>
          <w:w w:val="95"/>
          <w:lang w:val="cs-CZ"/>
        </w:rPr>
        <w:t> </w:t>
      </w:r>
      <w:r>
        <w:rPr>
          <w:rFonts w:ascii="Trebuchet MS"/>
          <w:w w:val="95"/>
          <w:lang w:val="cs-CZ"/>
        </w:rPr>
        <w:t>Hr</w:t>
      </w:r>
      <w:r>
        <w:rPr>
          <w:rFonts w:ascii="Trebuchet MS"/>
          <w:w w:val="95"/>
          <w:lang w:val="cs-CZ"/>
        </w:rPr>
        <w:t>áč</w:t>
      </w:r>
      <w:r>
        <w:rPr>
          <w:rFonts w:ascii="Trebuchet MS"/>
          <w:w w:val="95"/>
          <w:lang w:val="cs-CZ"/>
        </w:rPr>
        <w:t xml:space="preserve"> B</w:t>
      </w:r>
    </w:p>
    <w:p w:rsidR="00070F6A" w:rsidRPr="00FB0B7B" w:rsidRDefault="00070F6A">
      <w:pPr>
        <w:pStyle w:val="Zkladntext"/>
        <w:rPr>
          <w:rFonts w:ascii="Trebuchet MS"/>
          <w:sz w:val="20"/>
          <w:lang w:val="cs-CZ"/>
        </w:rPr>
      </w:pPr>
    </w:p>
    <w:p w:rsidR="00070F6A" w:rsidRPr="00FB0B7B" w:rsidRDefault="00070F6A">
      <w:pPr>
        <w:pStyle w:val="Zkladntext"/>
        <w:rPr>
          <w:rFonts w:ascii="Trebuchet MS"/>
          <w:sz w:val="20"/>
          <w:lang w:val="cs-CZ"/>
        </w:rPr>
      </w:pPr>
    </w:p>
    <w:p w:rsidR="00070F6A" w:rsidRPr="00FB0B7B" w:rsidRDefault="00070F6A">
      <w:pPr>
        <w:pStyle w:val="Zkladntext"/>
        <w:spacing w:before="10"/>
        <w:rPr>
          <w:rFonts w:ascii="Trebuchet MS"/>
          <w:sz w:val="16"/>
          <w:lang w:val="cs-CZ"/>
        </w:rPr>
      </w:pPr>
    </w:p>
    <w:p w:rsidR="00070F6A" w:rsidRPr="00FB0B7B" w:rsidRDefault="00B23608">
      <w:pPr>
        <w:spacing w:before="101"/>
        <w:ind w:left="252" w:right="252"/>
        <w:jc w:val="center"/>
        <w:rPr>
          <w:b/>
          <w:sz w:val="28"/>
          <w:lang w:val="cs-CZ"/>
        </w:rPr>
      </w:pPr>
      <w:r w:rsidRPr="00FB0B7B">
        <w:rPr>
          <w:b/>
          <w:sz w:val="28"/>
          <w:lang w:val="cs-CZ"/>
        </w:rPr>
        <w:t xml:space="preserve">Případ č. 16 </w:t>
      </w:r>
      <w:r w:rsidR="00330963" w:rsidRPr="00FB0B7B">
        <w:rPr>
          <w:b/>
          <w:sz w:val="28"/>
          <w:lang w:val="cs-CZ"/>
        </w:rPr>
        <w:t xml:space="preserve">– Odmítnutí podstoupit </w:t>
      </w:r>
      <w:r w:rsidR="00A32866" w:rsidRPr="00FB0B7B">
        <w:rPr>
          <w:b/>
          <w:sz w:val="28"/>
          <w:lang w:val="cs-CZ"/>
        </w:rPr>
        <w:t xml:space="preserve">odběr vzorku krve </w:t>
      </w:r>
      <w:r w:rsidRPr="00FB0B7B">
        <w:rPr>
          <w:b/>
          <w:sz w:val="28"/>
          <w:lang w:val="cs-CZ"/>
        </w:rPr>
        <w:t xml:space="preserve"> </w:t>
      </w:r>
    </w:p>
    <w:p w:rsidR="00070F6A" w:rsidRPr="00FB0B7B" w:rsidRDefault="00070F6A">
      <w:pPr>
        <w:pStyle w:val="Zkladntext"/>
        <w:rPr>
          <w:b/>
          <w:sz w:val="34"/>
          <w:lang w:val="cs-CZ"/>
        </w:rPr>
      </w:pPr>
    </w:p>
    <w:p w:rsidR="00070F6A" w:rsidRPr="00FB0B7B" w:rsidRDefault="00070F6A">
      <w:pPr>
        <w:pStyle w:val="Zkladntext"/>
        <w:spacing w:before="6"/>
        <w:rPr>
          <w:b/>
          <w:sz w:val="39"/>
          <w:lang w:val="cs-CZ"/>
        </w:rPr>
      </w:pPr>
    </w:p>
    <w:p w:rsidR="00070F6A" w:rsidRPr="00FB0B7B" w:rsidRDefault="00A32866">
      <w:pPr>
        <w:pStyle w:val="Nadpis1"/>
        <w:rPr>
          <w:lang w:val="cs-CZ"/>
        </w:rPr>
      </w:pPr>
      <w:r w:rsidRPr="00FB0B7B">
        <w:rPr>
          <w:lang w:val="cs-CZ"/>
        </w:rPr>
        <w:t xml:space="preserve">Klíčová slova </w:t>
      </w:r>
    </w:p>
    <w:p w:rsidR="00070F6A" w:rsidRPr="00FB0B7B" w:rsidRDefault="00070F6A">
      <w:pPr>
        <w:pStyle w:val="Zkladntext"/>
        <w:spacing w:before="9"/>
        <w:rPr>
          <w:b/>
          <w:sz w:val="30"/>
          <w:lang w:val="cs-CZ"/>
        </w:rPr>
      </w:pPr>
    </w:p>
    <w:p w:rsidR="00070F6A" w:rsidRPr="00FB0B7B" w:rsidRDefault="00A32866">
      <w:pPr>
        <w:ind w:left="120"/>
        <w:jc w:val="both"/>
        <w:rPr>
          <w:i/>
          <w:lang w:val="cs-CZ"/>
        </w:rPr>
      </w:pPr>
      <w:r w:rsidRPr="00FB0B7B">
        <w:rPr>
          <w:i/>
          <w:lang w:val="cs-CZ"/>
        </w:rPr>
        <w:t xml:space="preserve">Vzorek krve; Duševní zdraví; Přesvědčivé </w:t>
      </w:r>
      <w:r w:rsidR="00E626A8" w:rsidRPr="003555DB">
        <w:rPr>
          <w:i/>
          <w:lang w:val="cs-CZ"/>
        </w:rPr>
        <w:t>odůvodnění</w:t>
      </w:r>
      <w:r w:rsidRPr="00FB0B7B">
        <w:rPr>
          <w:i/>
          <w:lang w:val="cs-CZ"/>
        </w:rPr>
        <w:t>; Nepodstoupení; Odmítnutí;</w:t>
      </w:r>
      <w:r w:rsidR="00463C62" w:rsidRPr="00FB0B7B">
        <w:rPr>
          <w:i/>
          <w:lang w:val="cs-CZ"/>
        </w:rPr>
        <w:t xml:space="preserve"> </w:t>
      </w:r>
      <w:r w:rsidR="00463C62" w:rsidRPr="00FB0B7B">
        <w:rPr>
          <w:i/>
          <w:color w:val="0070C0"/>
          <w:lang w:val="cs-CZ"/>
        </w:rPr>
        <w:t>Doping</w:t>
      </w:r>
    </w:p>
    <w:p w:rsidR="00070F6A" w:rsidRPr="00FB0B7B" w:rsidRDefault="00070F6A">
      <w:pPr>
        <w:pStyle w:val="Zkladntext"/>
        <w:rPr>
          <w:i/>
          <w:sz w:val="26"/>
          <w:lang w:val="cs-CZ"/>
        </w:rPr>
      </w:pPr>
    </w:p>
    <w:p w:rsidR="00070F6A" w:rsidRPr="00FB0B7B" w:rsidRDefault="00070F6A">
      <w:pPr>
        <w:pStyle w:val="Zkladntext"/>
        <w:rPr>
          <w:i/>
          <w:sz w:val="26"/>
          <w:lang w:val="cs-CZ"/>
        </w:rPr>
      </w:pPr>
    </w:p>
    <w:p w:rsidR="00070F6A" w:rsidRPr="00FB0B7B" w:rsidRDefault="00070F6A">
      <w:pPr>
        <w:pStyle w:val="Zkladntext"/>
        <w:spacing w:before="2"/>
        <w:rPr>
          <w:i/>
          <w:sz w:val="21"/>
          <w:lang w:val="cs-CZ"/>
        </w:rPr>
      </w:pPr>
    </w:p>
    <w:p w:rsidR="00070F6A" w:rsidRPr="00FB0B7B" w:rsidRDefault="00A32866">
      <w:pPr>
        <w:pStyle w:val="Nadpis1"/>
        <w:rPr>
          <w:lang w:val="cs-CZ"/>
        </w:rPr>
      </w:pPr>
      <w:r w:rsidRPr="00FB0B7B">
        <w:rPr>
          <w:lang w:val="cs-CZ"/>
        </w:rPr>
        <w:t xml:space="preserve">Shrnutí </w:t>
      </w:r>
    </w:p>
    <w:p w:rsidR="00070F6A" w:rsidRPr="00FB0B7B" w:rsidRDefault="00070F6A">
      <w:pPr>
        <w:pStyle w:val="Zkladntext"/>
        <w:spacing w:before="9"/>
        <w:rPr>
          <w:b/>
          <w:sz w:val="30"/>
          <w:lang w:val="cs-CZ"/>
        </w:rPr>
      </w:pPr>
    </w:p>
    <w:p w:rsidR="006837F3" w:rsidRPr="00FB0B7B" w:rsidRDefault="006837F3" w:rsidP="00FB0B7B">
      <w:pPr>
        <w:pStyle w:val="Zkladntext"/>
        <w:spacing w:before="120" w:after="120" w:line="360" w:lineRule="auto"/>
        <w:ind w:left="120"/>
        <w:jc w:val="both"/>
        <w:rPr>
          <w:lang w:val="cs-CZ"/>
        </w:rPr>
      </w:pPr>
      <w:r w:rsidRPr="00FB0B7B">
        <w:rPr>
          <w:lang w:val="cs-CZ"/>
        </w:rPr>
        <w:t xml:space="preserve">Hráč </w:t>
      </w:r>
      <w:r w:rsidR="00B35FB7" w:rsidRPr="00FB0B7B">
        <w:rPr>
          <w:lang w:val="cs-CZ"/>
        </w:rPr>
        <w:t>B</w:t>
      </w:r>
      <w:r w:rsidRPr="00FB0B7B">
        <w:rPr>
          <w:lang w:val="cs-CZ"/>
        </w:rPr>
        <w:t xml:space="preserve"> byl obviněn z porušení dopingových pravidel dle Článku 2.</w:t>
      </w:r>
      <w:r w:rsidR="00B35FB7" w:rsidRPr="00FB0B7B">
        <w:rPr>
          <w:lang w:val="cs-CZ"/>
        </w:rPr>
        <w:t>3</w:t>
      </w:r>
      <w:r w:rsidRPr="00FB0B7B">
        <w:rPr>
          <w:lang w:val="cs-CZ"/>
        </w:rPr>
        <w:t xml:space="preserve"> </w:t>
      </w:r>
      <w:r w:rsidR="00B35FB7" w:rsidRPr="00FB0B7B">
        <w:rPr>
          <w:lang w:val="cs-CZ"/>
        </w:rPr>
        <w:t xml:space="preserve">Tenisového programu proti dopingu 2017 (TADP). Hráč se odmítl podrobit odběru vzorku, jelikož má údajně strach z odběrů krve. Hráč B se snažil vyhnout obvinění z porušení pravidel tím, že měl přesvědčivé </w:t>
      </w:r>
      <w:r w:rsidR="00866DDD" w:rsidRPr="00FB0B7B">
        <w:rPr>
          <w:lang w:val="cs-CZ"/>
        </w:rPr>
        <w:t>odůvodnění pro</w:t>
      </w:r>
      <w:r w:rsidR="00B35FB7" w:rsidRPr="00FB0B7B">
        <w:rPr>
          <w:lang w:val="cs-CZ"/>
        </w:rPr>
        <w:t xml:space="preserve"> odmítnutí poskytnout vzorek krve. Pokud by toto nebylo přijato, žádal o zkrácení trestu, jelikož z jeho strany nešlo o úmysl podvádět nebo o významné zavinění. Případ byl předán k vyřešení </w:t>
      </w:r>
      <w:r w:rsidR="00866DDD" w:rsidRPr="00FB0B7B">
        <w:rPr>
          <w:lang w:val="cs-CZ"/>
        </w:rPr>
        <w:t>N</w:t>
      </w:r>
      <w:r w:rsidR="00B35FB7" w:rsidRPr="00FB0B7B">
        <w:rPr>
          <w:lang w:val="cs-CZ"/>
        </w:rPr>
        <w:t>ezávislému soudu Mezinárodní tenisové federace (ITF).</w:t>
      </w:r>
    </w:p>
    <w:p w:rsidR="00070F6A" w:rsidRPr="00FB0B7B" w:rsidRDefault="00070F6A">
      <w:pPr>
        <w:pStyle w:val="Zkladntext"/>
        <w:rPr>
          <w:sz w:val="26"/>
          <w:lang w:val="cs-CZ"/>
        </w:rPr>
      </w:pPr>
    </w:p>
    <w:p w:rsidR="00070F6A" w:rsidRPr="00FB0B7B" w:rsidRDefault="00070F6A">
      <w:pPr>
        <w:pStyle w:val="Zkladntext"/>
        <w:spacing w:before="3"/>
        <w:rPr>
          <w:sz w:val="20"/>
          <w:lang w:val="cs-CZ"/>
        </w:rPr>
      </w:pPr>
    </w:p>
    <w:p w:rsidR="00070F6A" w:rsidRPr="00FB0B7B" w:rsidRDefault="00B35FB7">
      <w:pPr>
        <w:pStyle w:val="Nadpis1"/>
        <w:jc w:val="left"/>
        <w:rPr>
          <w:lang w:val="cs-CZ"/>
        </w:rPr>
      </w:pPr>
      <w:r w:rsidRPr="00FB0B7B">
        <w:rPr>
          <w:lang w:val="cs-CZ"/>
        </w:rPr>
        <w:t xml:space="preserve">Kontext </w:t>
      </w:r>
    </w:p>
    <w:p w:rsidR="00070F6A" w:rsidRPr="00FB0B7B" w:rsidRDefault="00070F6A">
      <w:pPr>
        <w:pStyle w:val="Zkladntext"/>
        <w:spacing w:before="9"/>
        <w:rPr>
          <w:b/>
          <w:sz w:val="30"/>
          <w:lang w:val="cs-CZ"/>
        </w:rPr>
      </w:pPr>
      <w:bookmarkStart w:id="0" w:name="_GoBack"/>
      <w:bookmarkEnd w:id="0"/>
    </w:p>
    <w:p w:rsidR="003555DB" w:rsidRPr="00FB0B7B" w:rsidRDefault="00AA5544">
      <w:pPr>
        <w:pStyle w:val="Zkladntext"/>
        <w:spacing w:line="360" w:lineRule="auto"/>
        <w:ind w:left="120" w:right="115"/>
        <w:jc w:val="both"/>
        <w:rPr>
          <w:lang w:val="cs-CZ"/>
        </w:rPr>
      </w:pPr>
      <w:r w:rsidRPr="00FB0B7B">
        <w:rPr>
          <w:lang w:val="cs-CZ"/>
        </w:rPr>
        <w:t xml:space="preserve">Hráč B se účastnil mezinárodní tenisové soutěže v Portugalsku a byl náhodně vybrán </w:t>
      </w:r>
      <w:r w:rsidR="003555DB" w:rsidRPr="00FB0B7B">
        <w:rPr>
          <w:lang w:val="cs-CZ"/>
        </w:rPr>
        <w:t xml:space="preserve">k poskytnutí vzorku krve mimo soutěžní období. Hráč B </w:t>
      </w:r>
      <w:r w:rsidR="00866DDD">
        <w:rPr>
          <w:lang w:val="cs-CZ"/>
        </w:rPr>
        <w:t xml:space="preserve">na výzvu dopingového komisaře </w:t>
      </w:r>
      <w:r w:rsidR="003555DB" w:rsidRPr="00FB0B7B">
        <w:rPr>
          <w:lang w:val="cs-CZ"/>
        </w:rPr>
        <w:t xml:space="preserve">krev neposkytl. Odůvodnil to tím, že při posledním odběru krve u něho nastal epileptický </w:t>
      </w:r>
      <w:r w:rsidR="00866DDD">
        <w:rPr>
          <w:lang w:val="cs-CZ"/>
        </w:rPr>
        <w:t>záchvat</w:t>
      </w:r>
      <w:r w:rsidR="003555DB" w:rsidRPr="00FB0B7B">
        <w:rPr>
          <w:lang w:val="cs-CZ"/>
        </w:rPr>
        <w:t>, a</w:t>
      </w:r>
      <w:r w:rsidR="00866DDD">
        <w:rPr>
          <w:lang w:val="cs-CZ"/>
        </w:rPr>
        <w:t xml:space="preserve"> proto má teď obavy z jakýchkoliv </w:t>
      </w:r>
      <w:r w:rsidR="003555DB" w:rsidRPr="00FB0B7B">
        <w:rPr>
          <w:lang w:val="cs-CZ"/>
        </w:rPr>
        <w:t>odběr</w:t>
      </w:r>
      <w:r w:rsidR="00866DDD">
        <w:rPr>
          <w:lang w:val="cs-CZ"/>
        </w:rPr>
        <w:t>ů</w:t>
      </w:r>
      <w:r w:rsidR="003555DB" w:rsidRPr="00FB0B7B">
        <w:rPr>
          <w:lang w:val="cs-CZ"/>
        </w:rPr>
        <w:t xml:space="preserve"> krve. Hráč B nabídl, že místo krve poskytne vzorek moči. Bylo akceptováno, že důvod</w:t>
      </w:r>
      <w:r w:rsidR="00866DDD">
        <w:rPr>
          <w:lang w:val="cs-CZ"/>
        </w:rPr>
        <w:t>em</w:t>
      </w:r>
      <w:r w:rsidR="003555DB" w:rsidRPr="00FB0B7B">
        <w:rPr>
          <w:lang w:val="cs-CZ"/>
        </w:rPr>
        <w:t xml:space="preserve"> pro odmítnutí ze strany Hráče B je </w:t>
      </w:r>
      <w:r w:rsidR="00866DDD">
        <w:rPr>
          <w:lang w:val="cs-CZ"/>
        </w:rPr>
        <w:t>skutečný</w:t>
      </w:r>
      <w:r w:rsidR="003555DB" w:rsidRPr="00FB0B7B">
        <w:rPr>
          <w:lang w:val="cs-CZ"/>
        </w:rPr>
        <w:t xml:space="preserve"> strach z odběru krve. V procesu testování nastaly i další problémy. </w:t>
      </w:r>
    </w:p>
    <w:p w:rsidR="00070F6A" w:rsidRPr="00FB0B7B" w:rsidRDefault="00070F6A">
      <w:pPr>
        <w:pStyle w:val="Zkladntext"/>
        <w:spacing w:line="360" w:lineRule="auto"/>
        <w:ind w:left="120" w:right="115"/>
        <w:jc w:val="both"/>
        <w:rPr>
          <w:lang w:val="cs-CZ"/>
        </w:rPr>
      </w:pPr>
    </w:p>
    <w:p w:rsidR="00070F6A" w:rsidRPr="00FB0B7B" w:rsidRDefault="00070F6A">
      <w:pPr>
        <w:pStyle w:val="Zkladntext"/>
        <w:rPr>
          <w:sz w:val="26"/>
          <w:lang w:val="cs-CZ"/>
        </w:rPr>
      </w:pPr>
    </w:p>
    <w:p w:rsidR="00070F6A" w:rsidRPr="00FB0B7B" w:rsidRDefault="00070F6A">
      <w:pPr>
        <w:pStyle w:val="Zkladntext"/>
        <w:spacing w:before="6"/>
        <w:rPr>
          <w:sz w:val="20"/>
          <w:lang w:val="cs-CZ"/>
        </w:rPr>
      </w:pPr>
    </w:p>
    <w:p w:rsidR="00070F6A" w:rsidRPr="00FB0B7B" w:rsidRDefault="003555DB">
      <w:pPr>
        <w:pStyle w:val="Nadpis1"/>
        <w:ind w:left="121"/>
        <w:rPr>
          <w:lang w:val="cs-CZ"/>
        </w:rPr>
      </w:pPr>
      <w:r>
        <w:rPr>
          <w:lang w:val="cs-CZ"/>
        </w:rPr>
        <w:t xml:space="preserve">Zdůvodnění a rozhodnutí soudu </w:t>
      </w:r>
    </w:p>
    <w:p w:rsidR="00070F6A" w:rsidRPr="00FB0B7B" w:rsidRDefault="00070F6A">
      <w:pPr>
        <w:rPr>
          <w:lang w:val="cs-CZ"/>
        </w:rPr>
        <w:sectPr w:rsidR="00070F6A" w:rsidRPr="00FB0B7B">
          <w:type w:val="continuous"/>
          <w:pgSz w:w="11910" w:h="16840"/>
          <w:pgMar w:top="660" w:right="1320" w:bottom="280" w:left="1320" w:header="708" w:footer="708" w:gutter="0"/>
          <w:cols w:space="708"/>
        </w:sectPr>
      </w:pPr>
    </w:p>
    <w:p w:rsidR="003555DB" w:rsidRDefault="003555DB">
      <w:pPr>
        <w:pStyle w:val="Zkladntext"/>
        <w:spacing w:before="81" w:line="360" w:lineRule="auto"/>
        <w:ind w:left="119" w:right="114"/>
        <w:jc w:val="both"/>
        <w:rPr>
          <w:lang w:val="cs-CZ"/>
        </w:rPr>
      </w:pPr>
      <w:r>
        <w:rPr>
          <w:lang w:val="cs-CZ"/>
        </w:rPr>
        <w:lastRenderedPageBreak/>
        <w:t>Hráč B uvedl, že vzorek krve</w:t>
      </w:r>
      <w:r w:rsidR="00866DDD" w:rsidRPr="00866DDD">
        <w:rPr>
          <w:lang w:val="cs-CZ"/>
        </w:rPr>
        <w:t xml:space="preserve"> </w:t>
      </w:r>
      <w:r w:rsidR="00866DDD">
        <w:rPr>
          <w:lang w:val="cs-CZ"/>
        </w:rPr>
        <w:t>neposkytnul</w:t>
      </w:r>
      <w:r>
        <w:rPr>
          <w:lang w:val="cs-CZ"/>
        </w:rPr>
        <w:t>, jelikož při předchozím odběru krve dostal epileptický záchvat, ale neměl žádné spolehlivé důkazy, jež by to potvrzovaly. Hráč B rovněž uvedl, že ho zástupci ITF dostatečně nevarovali</w:t>
      </w:r>
      <w:r w:rsidR="00866DDD">
        <w:rPr>
          <w:lang w:val="cs-CZ"/>
        </w:rPr>
        <w:t xml:space="preserve"> ohledně možných </w:t>
      </w:r>
      <w:r>
        <w:rPr>
          <w:lang w:val="cs-CZ"/>
        </w:rPr>
        <w:t xml:space="preserve">důsledků neposkytnutí vzorku krve, a že byl přesvědčen, že požadavek na vzorek krve byl vyřešen jeho nabídkou poskytnout místo toho vzorek moči. </w:t>
      </w:r>
    </w:p>
    <w:p w:rsidR="00070F6A" w:rsidRPr="00FB0B7B" w:rsidRDefault="00070F6A">
      <w:pPr>
        <w:pStyle w:val="Zkladntext"/>
        <w:spacing w:before="9"/>
        <w:rPr>
          <w:sz w:val="19"/>
          <w:lang w:val="cs-CZ"/>
        </w:rPr>
      </w:pPr>
    </w:p>
    <w:p w:rsidR="00EE0919" w:rsidRDefault="00EE0919">
      <w:pPr>
        <w:pStyle w:val="Zkladntext"/>
        <w:spacing w:before="1" w:line="360" w:lineRule="auto"/>
        <w:ind w:left="119" w:right="118"/>
        <w:jc w:val="both"/>
        <w:rPr>
          <w:lang w:val="cs-CZ"/>
        </w:rPr>
      </w:pPr>
      <w:r>
        <w:rPr>
          <w:lang w:val="cs-CZ"/>
        </w:rPr>
        <w:t>Svědci za ITF uvedli, že Hráče B varovali ohledně možných důsledků odmítnutí poskytnout vzorek krve, a že</w:t>
      </w:r>
      <w:r w:rsidR="00DE31D0">
        <w:rPr>
          <w:lang w:val="cs-CZ"/>
        </w:rPr>
        <w:t xml:space="preserve"> bylo jasně uvedeno, že</w:t>
      </w:r>
      <w:r>
        <w:rPr>
          <w:lang w:val="cs-CZ"/>
        </w:rPr>
        <w:t xml:space="preserve"> </w:t>
      </w:r>
      <w:r w:rsidR="00F94DCA">
        <w:rPr>
          <w:lang w:val="cs-CZ"/>
        </w:rPr>
        <w:t>v</w:t>
      </w:r>
      <w:r w:rsidR="00B55702">
        <w:rPr>
          <w:lang w:val="cs-CZ"/>
        </w:rPr>
        <w:t>z</w:t>
      </w:r>
      <w:r w:rsidR="00F94DCA">
        <w:rPr>
          <w:lang w:val="cs-CZ"/>
        </w:rPr>
        <w:t>o</w:t>
      </w:r>
      <w:r w:rsidR="00B55702">
        <w:rPr>
          <w:lang w:val="cs-CZ"/>
        </w:rPr>
        <w:t>r</w:t>
      </w:r>
      <w:r w:rsidR="00F94DCA">
        <w:rPr>
          <w:lang w:val="cs-CZ"/>
        </w:rPr>
        <w:t xml:space="preserve">ek moči není možné v žádném případě přijmout místo vzorku krve. V této souvislosti předložila ITF důkazy vysvětlující, že testování moči a testování krve není vzájemně nahraditelné, jelikož některé látky a metody ze seznamu zakázaných je možné odhalit pouze v krvi. </w:t>
      </w:r>
    </w:p>
    <w:p w:rsidR="00070F6A" w:rsidRPr="00FB0B7B" w:rsidRDefault="00070F6A">
      <w:pPr>
        <w:pStyle w:val="Zkladntext"/>
        <w:spacing w:before="1" w:line="360" w:lineRule="auto"/>
        <w:ind w:left="119" w:right="118"/>
        <w:jc w:val="both"/>
        <w:rPr>
          <w:lang w:val="cs-CZ"/>
        </w:rPr>
      </w:pPr>
    </w:p>
    <w:p w:rsidR="008454E5" w:rsidRDefault="008454E5">
      <w:pPr>
        <w:pStyle w:val="Zkladntext"/>
        <w:spacing w:line="360" w:lineRule="auto"/>
        <w:ind w:left="119" w:right="115"/>
        <w:jc w:val="both"/>
        <w:rPr>
          <w:lang w:val="cs-CZ"/>
        </w:rPr>
      </w:pPr>
      <w:r>
        <w:rPr>
          <w:lang w:val="cs-CZ"/>
        </w:rPr>
        <w:t xml:space="preserve">Soud ve svém rozhodnutí vzal v úvahu různé otázky související s aplikací hlavních ustanovení </w:t>
      </w:r>
      <w:r w:rsidR="00E626A8">
        <w:rPr>
          <w:lang w:val="cs-CZ"/>
        </w:rPr>
        <w:t xml:space="preserve">TADP: duševní stav hráče, záměr, zda jednání </w:t>
      </w:r>
      <w:r w:rsidR="00DE31D0">
        <w:rPr>
          <w:lang w:val="cs-CZ"/>
        </w:rPr>
        <w:t>klasifikovat jako</w:t>
      </w:r>
      <w:r w:rsidR="00E626A8">
        <w:rPr>
          <w:lang w:val="cs-CZ"/>
        </w:rPr>
        <w:t xml:space="preserve"> Neposkytnutí vzorku nebo Odmítnutí poskytnout vzorek, přesvědčivé odůvodnění, zda ze strany hráče šlo o Neexistenci významného zavinění nebo </w:t>
      </w:r>
      <w:r w:rsidR="00DE31D0">
        <w:rPr>
          <w:lang w:val="cs-CZ"/>
        </w:rPr>
        <w:t xml:space="preserve">významné </w:t>
      </w:r>
      <w:r w:rsidR="00E626A8">
        <w:rPr>
          <w:lang w:val="cs-CZ"/>
        </w:rPr>
        <w:t xml:space="preserve">nedbalosti. Rovněž posoudil, zda menší problémy v průběhu procesu odběru a informace poskytnuté Hráči B v jeho průběhu znamenají, že od požadavku na vzorek </w:t>
      </w:r>
      <w:r w:rsidR="00E626A8" w:rsidRPr="00DE31D0">
        <w:rPr>
          <w:lang w:val="cs-CZ"/>
        </w:rPr>
        <w:t>krve bylo přijetím vzorku moči</w:t>
      </w:r>
      <w:r w:rsidR="00DE31D0" w:rsidRPr="00FB0B7B">
        <w:rPr>
          <w:lang w:val="cs-CZ"/>
        </w:rPr>
        <w:t xml:space="preserve"> upuštěno</w:t>
      </w:r>
      <w:r w:rsidR="00E626A8" w:rsidRPr="00DE31D0">
        <w:rPr>
          <w:lang w:val="cs-CZ"/>
        </w:rPr>
        <w:t>.</w:t>
      </w:r>
      <w:r w:rsidR="00E626A8">
        <w:rPr>
          <w:lang w:val="cs-CZ"/>
        </w:rPr>
        <w:t xml:space="preserve">  </w:t>
      </w:r>
    </w:p>
    <w:p w:rsidR="00070F6A" w:rsidRPr="00FB0B7B" w:rsidRDefault="00070F6A">
      <w:pPr>
        <w:pStyle w:val="Zkladntext"/>
        <w:spacing w:before="9"/>
        <w:rPr>
          <w:sz w:val="19"/>
          <w:lang w:val="cs-CZ"/>
        </w:rPr>
      </w:pPr>
    </w:p>
    <w:p w:rsidR="002B1C57" w:rsidRDefault="002B1C57">
      <w:pPr>
        <w:pStyle w:val="Zkladntext"/>
        <w:spacing w:line="360" w:lineRule="auto"/>
        <w:ind w:left="119" w:right="116"/>
        <w:jc w:val="both"/>
        <w:rPr>
          <w:lang w:val="cs-CZ"/>
        </w:rPr>
      </w:pPr>
      <w:r>
        <w:rPr>
          <w:lang w:val="cs-CZ"/>
        </w:rPr>
        <w:t>Ve věci záměrného jednání Hráče B soud rozhodl, že Hráč B úmyslně odmítnul poskytnout vzorek, přičemž neměl žádné objektivní dů</w:t>
      </w:r>
      <w:r w:rsidR="004B5FCA">
        <w:rPr>
          <w:lang w:val="cs-CZ"/>
        </w:rPr>
        <w:t>kazy (např. lékařské záznamy) podporující tvrzení, že jeho strach představuje z objektivního pohledu přesvědčivé odůvodnění pro odmítnutí. Pokud chce hráč využít institut</w:t>
      </w:r>
      <w:r w:rsidR="00DE31D0">
        <w:rPr>
          <w:lang w:val="cs-CZ"/>
        </w:rPr>
        <w:t xml:space="preserve"> </w:t>
      </w:r>
      <w:r w:rsidR="004B5FCA">
        <w:rPr>
          <w:lang w:val="cs-CZ"/>
        </w:rPr>
        <w:t>přesvědčivého odůvodnění, musí předložit odpovídající důkazy, např. že vyhledal ošetření v dané věci</w:t>
      </w:r>
      <w:r w:rsidR="00DE31D0">
        <w:rPr>
          <w:lang w:val="cs-CZ"/>
        </w:rPr>
        <w:t xml:space="preserve"> nebo</w:t>
      </w:r>
      <w:r w:rsidR="004B5FCA">
        <w:rPr>
          <w:lang w:val="cs-CZ"/>
        </w:rPr>
        <w:t xml:space="preserve"> lékařské vyjádření potvrzující jeho fyzickou nebo duševní neschopnost darovat krev. Pouhé vyjádření strachu ze zdravotních důsledků není dostačující. Hráč B daným způsobem nepostupoval a soud proto rozhodl, že Hráč B porušil dopingová pravidla podle Článku 2.3 TADP. </w:t>
      </w:r>
    </w:p>
    <w:p w:rsidR="00070F6A" w:rsidRPr="00FB0B7B" w:rsidRDefault="00070F6A">
      <w:pPr>
        <w:pStyle w:val="Zkladntext"/>
        <w:spacing w:line="360" w:lineRule="auto"/>
        <w:ind w:left="119" w:right="116"/>
        <w:jc w:val="both"/>
        <w:rPr>
          <w:lang w:val="cs-CZ"/>
        </w:rPr>
      </w:pPr>
    </w:p>
    <w:p w:rsidR="00EA61D8" w:rsidRDefault="00EA61D8">
      <w:pPr>
        <w:pStyle w:val="Zkladntext"/>
        <w:spacing w:before="1" w:line="360" w:lineRule="auto"/>
        <w:ind w:left="118" w:right="118"/>
        <w:jc w:val="both"/>
        <w:rPr>
          <w:lang w:val="cs-CZ"/>
        </w:rPr>
      </w:pPr>
      <w:r>
        <w:rPr>
          <w:lang w:val="cs-CZ"/>
        </w:rPr>
        <w:t xml:space="preserve">Dále mohl být významný i rozdíl mezi </w:t>
      </w:r>
      <w:r w:rsidRPr="00FB0B7B">
        <w:rPr>
          <w:i/>
          <w:lang w:val="cs-CZ"/>
        </w:rPr>
        <w:t>Odmítnutím poskyt</w:t>
      </w:r>
      <w:r w:rsidR="009D60FF" w:rsidRPr="00FB0B7B">
        <w:rPr>
          <w:i/>
          <w:lang w:val="cs-CZ"/>
        </w:rPr>
        <w:t>nout</w:t>
      </w:r>
      <w:r w:rsidR="009D60FF">
        <w:rPr>
          <w:lang w:val="cs-CZ"/>
        </w:rPr>
        <w:t xml:space="preserve"> a </w:t>
      </w:r>
      <w:r w:rsidR="009D60FF" w:rsidRPr="00FB0B7B">
        <w:rPr>
          <w:i/>
          <w:lang w:val="cs-CZ"/>
        </w:rPr>
        <w:t>Neposkytnutím</w:t>
      </w:r>
      <w:r w:rsidR="00DE31D0">
        <w:rPr>
          <w:lang w:val="cs-CZ"/>
        </w:rPr>
        <w:t>.</w:t>
      </w:r>
      <w:r w:rsidR="009D60FF">
        <w:rPr>
          <w:lang w:val="cs-CZ"/>
        </w:rPr>
        <w:t xml:space="preserve"> </w:t>
      </w:r>
      <w:r w:rsidR="00DE31D0">
        <w:rPr>
          <w:lang w:val="cs-CZ"/>
        </w:rPr>
        <w:t>P</w:t>
      </w:r>
      <w:r w:rsidR="009D60FF">
        <w:rPr>
          <w:lang w:val="cs-CZ"/>
        </w:rPr>
        <w:t xml:space="preserve">odle pravidel TADP (na rozdíl od Kodexu WADA 2015) je možné ustanovení o zkrácení trestu v případech, kdy nebylo „záměrem hráče podvádět“, použít pouze </w:t>
      </w:r>
      <w:r w:rsidR="00DE31D0">
        <w:rPr>
          <w:lang w:val="cs-CZ"/>
        </w:rPr>
        <w:t>pokud se jedná o klasifikaci</w:t>
      </w:r>
      <w:r w:rsidR="009D60FF">
        <w:rPr>
          <w:lang w:val="cs-CZ"/>
        </w:rPr>
        <w:t xml:space="preserve"> Neposkytnutí</w:t>
      </w:r>
      <w:r w:rsidR="00DE31D0">
        <w:rPr>
          <w:lang w:val="cs-CZ"/>
        </w:rPr>
        <w:t xml:space="preserve"> vzorku</w:t>
      </w:r>
      <w:r w:rsidR="009D60FF">
        <w:rPr>
          <w:lang w:val="cs-CZ"/>
        </w:rPr>
        <w:t xml:space="preserve">. Hráč B tedy nemohl tohoto ustanovení využít. Soud nicméně také rozhodl, že je možné </w:t>
      </w:r>
      <w:r w:rsidR="00DE31D0">
        <w:rPr>
          <w:lang w:val="cs-CZ"/>
        </w:rPr>
        <w:t>zohlednit</w:t>
      </w:r>
      <w:r w:rsidR="009D60FF">
        <w:rPr>
          <w:lang w:val="cs-CZ"/>
        </w:rPr>
        <w:t xml:space="preserve"> skutečné obavy Hráče B z odběru krve při posuzování, zda se hráč dopustil Významného </w:t>
      </w:r>
      <w:r w:rsidR="009D60FF">
        <w:rPr>
          <w:lang w:val="cs-CZ"/>
        </w:rPr>
        <w:lastRenderedPageBreak/>
        <w:t xml:space="preserve">zavinění nebo nedbalosti (Čl. 10.5.2) či nikoliv, jelikož byl přesvědčen, že má pádný důvod odběr nepodstoupit. Z výše uvedených </w:t>
      </w:r>
      <w:r w:rsidR="009D60FF" w:rsidRPr="00EE7728">
        <w:rPr>
          <w:lang w:val="cs-CZ"/>
        </w:rPr>
        <w:t xml:space="preserve">důvodů byl tedy </w:t>
      </w:r>
      <w:r w:rsidR="00DE31D0" w:rsidRPr="00EE7728">
        <w:rPr>
          <w:lang w:val="cs-CZ"/>
        </w:rPr>
        <w:t xml:space="preserve">stanoven </w:t>
      </w:r>
      <w:r w:rsidR="009D60FF" w:rsidRPr="00EE7728">
        <w:rPr>
          <w:lang w:val="cs-CZ"/>
        </w:rPr>
        <w:t xml:space="preserve">trest zákazu činnosti </w:t>
      </w:r>
      <w:r w:rsidR="00DE31D0" w:rsidRPr="00EE7728">
        <w:rPr>
          <w:lang w:val="cs-CZ"/>
        </w:rPr>
        <w:t>na dva roky.</w:t>
      </w:r>
    </w:p>
    <w:p w:rsidR="00070F6A" w:rsidRPr="00FB0B7B" w:rsidRDefault="00070F6A">
      <w:pPr>
        <w:pStyle w:val="Zkladntext"/>
        <w:spacing w:before="10"/>
        <w:rPr>
          <w:sz w:val="19"/>
          <w:lang w:val="cs-CZ"/>
        </w:rPr>
      </w:pPr>
    </w:p>
    <w:p w:rsidR="009D60FF" w:rsidRDefault="009D60FF">
      <w:pPr>
        <w:pStyle w:val="Zkladntext"/>
        <w:spacing w:line="360" w:lineRule="auto"/>
        <w:ind w:left="119" w:right="116"/>
        <w:jc w:val="both"/>
        <w:rPr>
          <w:lang w:val="cs-CZ"/>
        </w:rPr>
      </w:pPr>
      <w:r>
        <w:rPr>
          <w:lang w:val="cs-CZ"/>
        </w:rPr>
        <w:t xml:space="preserve">Ve věci procesních otázek </w:t>
      </w:r>
      <w:r w:rsidR="00A31B2A">
        <w:rPr>
          <w:lang w:val="cs-CZ"/>
        </w:rPr>
        <w:t xml:space="preserve">soud poznamenal, že zástupci ITF mohli explicitněji uvést, že vzorek moči nebude považován za náhradu místo vzorku krve. Soud nicméně rozhodl, že toto není dostatečný důvod ke zrušení nebo stažení požadavku na vzorek krve ze strany ITF, zejména v situaci, kdy Hráč B své chování nezměnil na základě tohoto údajného zrušení; bylo zřejmé, že Hráč by krevní vzorek neodevzdal za žádných okolností. </w:t>
      </w:r>
      <w:r w:rsidR="001E0639">
        <w:rPr>
          <w:lang w:val="cs-CZ"/>
        </w:rPr>
        <w:t>D</w:t>
      </w:r>
      <w:r w:rsidR="00A31B2A">
        <w:rPr>
          <w:lang w:val="cs-CZ"/>
        </w:rPr>
        <w:t xml:space="preserve">alší mírné odchylky od ideálního průběhu procesu neměly žádný vliv na hráčově odmítnutí. </w:t>
      </w:r>
    </w:p>
    <w:p w:rsidR="00070F6A" w:rsidRPr="00FB0B7B" w:rsidRDefault="00070F6A">
      <w:pPr>
        <w:pStyle w:val="Zkladntext"/>
        <w:spacing w:line="360" w:lineRule="auto"/>
        <w:ind w:left="119" w:right="116"/>
        <w:jc w:val="both"/>
        <w:rPr>
          <w:lang w:val="cs-CZ"/>
        </w:rPr>
      </w:pPr>
    </w:p>
    <w:p w:rsidR="00070F6A" w:rsidRPr="00FB0B7B" w:rsidRDefault="00070F6A">
      <w:pPr>
        <w:pStyle w:val="Zkladntext"/>
        <w:spacing w:before="5"/>
        <w:rPr>
          <w:sz w:val="20"/>
          <w:lang w:val="cs-CZ"/>
        </w:rPr>
      </w:pPr>
    </w:p>
    <w:p w:rsidR="00070F6A" w:rsidRPr="00FB0B7B" w:rsidRDefault="00A31B2A">
      <w:pPr>
        <w:pStyle w:val="Nadpis1"/>
        <w:spacing w:before="1"/>
        <w:ind w:left="119"/>
        <w:jc w:val="left"/>
        <w:rPr>
          <w:lang w:val="cs-CZ"/>
        </w:rPr>
      </w:pPr>
      <w:r>
        <w:rPr>
          <w:lang w:val="cs-CZ"/>
        </w:rPr>
        <w:t xml:space="preserve">Poučení </w:t>
      </w:r>
    </w:p>
    <w:p w:rsidR="00070F6A" w:rsidRPr="00FB0B7B" w:rsidRDefault="00070F6A">
      <w:pPr>
        <w:pStyle w:val="Zkladntext"/>
        <w:spacing w:before="8"/>
        <w:rPr>
          <w:b/>
          <w:sz w:val="30"/>
          <w:lang w:val="cs-CZ"/>
        </w:rPr>
      </w:pPr>
    </w:p>
    <w:p w:rsidR="00070F6A" w:rsidRPr="00FB0B7B" w:rsidRDefault="00463C62">
      <w:pPr>
        <w:pStyle w:val="Odstavecseseznamem"/>
        <w:numPr>
          <w:ilvl w:val="2"/>
          <w:numId w:val="1"/>
        </w:numPr>
        <w:tabs>
          <w:tab w:val="left" w:pos="840"/>
        </w:tabs>
        <w:spacing w:line="357" w:lineRule="auto"/>
        <w:ind w:right="117" w:hanging="360"/>
        <w:rPr>
          <w:lang w:val="cs-CZ"/>
        </w:rPr>
      </w:pPr>
      <w:r>
        <w:rPr>
          <w:lang w:val="cs-CZ"/>
        </w:rPr>
        <w:t>Testování moči a testování krve není vzájemně zaměnitelné. Některé látky je možné detekovat pouze v krvi; proto je požadován odběr vzorků krve od hráčů.</w:t>
      </w:r>
    </w:p>
    <w:p w:rsidR="00070F6A" w:rsidRPr="00FB0B7B" w:rsidRDefault="00070F6A">
      <w:pPr>
        <w:pStyle w:val="Zkladntext"/>
        <w:spacing w:before="1"/>
        <w:rPr>
          <w:sz w:val="20"/>
          <w:lang w:val="cs-CZ"/>
        </w:rPr>
      </w:pPr>
    </w:p>
    <w:p w:rsidR="00070F6A" w:rsidRPr="00FB0B7B" w:rsidRDefault="001E0639">
      <w:pPr>
        <w:pStyle w:val="Odstavecseseznamem"/>
        <w:numPr>
          <w:ilvl w:val="2"/>
          <w:numId w:val="1"/>
        </w:numPr>
        <w:tabs>
          <w:tab w:val="left" w:pos="841"/>
        </w:tabs>
        <w:spacing w:line="357" w:lineRule="auto"/>
        <w:ind w:left="840" w:right="117"/>
        <w:rPr>
          <w:lang w:val="cs-CZ"/>
        </w:rPr>
      </w:pPr>
      <w:r>
        <w:rPr>
          <w:lang w:val="cs-CZ"/>
        </w:rPr>
        <w:t xml:space="preserve">Pokud se prokáže </w:t>
      </w:r>
      <w:r w:rsidR="00463C62">
        <w:rPr>
          <w:lang w:val="cs-CZ"/>
        </w:rPr>
        <w:t xml:space="preserve">Záměr hráče (nepodvádět), je možné </w:t>
      </w:r>
      <w:r>
        <w:rPr>
          <w:lang w:val="cs-CZ"/>
        </w:rPr>
        <w:t xml:space="preserve">toto </w:t>
      </w:r>
      <w:r w:rsidR="00463C62">
        <w:rPr>
          <w:lang w:val="cs-CZ"/>
        </w:rPr>
        <w:t xml:space="preserve">vzít v úvahu při aplikaci ustanovení zkracujících trest podle ADR 2009 </w:t>
      </w:r>
      <w:r>
        <w:rPr>
          <w:lang w:val="cs-CZ"/>
        </w:rPr>
        <w:t>v případech</w:t>
      </w:r>
      <w:r w:rsidR="00463C62">
        <w:rPr>
          <w:lang w:val="cs-CZ"/>
        </w:rPr>
        <w:t xml:space="preserve"> Neexistence zavinění nebo Neexistence významného zavinění. </w:t>
      </w:r>
    </w:p>
    <w:p w:rsidR="00070F6A" w:rsidRPr="00FB0B7B" w:rsidRDefault="00070F6A">
      <w:pPr>
        <w:pStyle w:val="Zkladntext"/>
        <w:spacing w:before="1"/>
        <w:rPr>
          <w:sz w:val="20"/>
          <w:lang w:val="cs-CZ"/>
        </w:rPr>
      </w:pPr>
    </w:p>
    <w:p w:rsidR="00070F6A" w:rsidRPr="00FB0B7B" w:rsidRDefault="00463C62">
      <w:pPr>
        <w:pStyle w:val="Odstavecseseznamem"/>
        <w:numPr>
          <w:ilvl w:val="2"/>
          <w:numId w:val="1"/>
        </w:numPr>
        <w:tabs>
          <w:tab w:val="left" w:pos="841"/>
        </w:tabs>
        <w:spacing w:line="357" w:lineRule="auto"/>
        <w:ind w:left="840"/>
        <w:rPr>
          <w:lang w:val="cs-CZ"/>
        </w:rPr>
      </w:pPr>
      <w:r>
        <w:rPr>
          <w:lang w:val="cs-CZ"/>
        </w:rPr>
        <w:t xml:space="preserve">Přesvědčivost odůvodnění </w:t>
      </w:r>
      <w:r w:rsidR="001E0639">
        <w:rPr>
          <w:lang w:val="cs-CZ"/>
        </w:rPr>
        <w:t xml:space="preserve">pro </w:t>
      </w:r>
      <w:r>
        <w:rPr>
          <w:lang w:val="cs-CZ"/>
        </w:rPr>
        <w:t xml:space="preserve">odmítnutí podrobit se odběru vzorku bude posuzována objektivně. </w:t>
      </w:r>
    </w:p>
    <w:p w:rsidR="00070F6A" w:rsidRPr="00FB0B7B" w:rsidRDefault="00070F6A">
      <w:pPr>
        <w:pStyle w:val="Zkladntext"/>
        <w:spacing w:before="11"/>
        <w:rPr>
          <w:sz w:val="19"/>
          <w:lang w:val="cs-CZ"/>
        </w:rPr>
      </w:pPr>
    </w:p>
    <w:p w:rsidR="00463C62" w:rsidRPr="001E0639" w:rsidRDefault="00463C62" w:rsidP="00FB0B7B">
      <w:pPr>
        <w:pStyle w:val="Odstavecseseznamem"/>
        <w:numPr>
          <w:ilvl w:val="2"/>
          <w:numId w:val="1"/>
        </w:numPr>
        <w:tabs>
          <w:tab w:val="left" w:pos="841"/>
        </w:tabs>
        <w:spacing w:line="360" w:lineRule="auto"/>
        <w:ind w:left="840" w:right="116"/>
        <w:rPr>
          <w:lang w:val="cs-CZ"/>
        </w:rPr>
      </w:pPr>
      <w:r>
        <w:rPr>
          <w:lang w:val="cs-CZ"/>
        </w:rPr>
        <w:t>Hráči by měli přiměřeně očekávat, že čas od času budou muset plnit požadavky antidopingového programu, a proto by se měli odpovídajícím způsobem připravit. Pokud mají skutečný důvod pro neposkytnutí vzorku (jako například strach z jehel), měli by si opatřit objektivní důkazy (např. lékařské záznamy), jenž daný problém potvrzují, a předložit je při odběru</w:t>
      </w:r>
      <w:r w:rsidR="00FB0B7B">
        <w:rPr>
          <w:lang w:val="cs-CZ"/>
        </w:rPr>
        <w:t>.</w:t>
      </w:r>
      <w:r w:rsidRPr="001E0639">
        <w:rPr>
          <w:lang w:val="cs-CZ"/>
        </w:rPr>
        <w:t xml:space="preserve"> </w:t>
      </w:r>
    </w:p>
    <w:p w:rsidR="00463C62" w:rsidRPr="00463C62" w:rsidRDefault="00463C62" w:rsidP="00FB0B7B">
      <w:pPr>
        <w:pStyle w:val="Odstavecseseznamem"/>
        <w:rPr>
          <w:lang w:val="cs-CZ"/>
        </w:rPr>
      </w:pPr>
    </w:p>
    <w:p w:rsidR="00070F6A" w:rsidRPr="00FB0B7B" w:rsidRDefault="00070F6A" w:rsidP="00FB0B7B">
      <w:pPr>
        <w:pStyle w:val="Odstavecseseznamem"/>
        <w:tabs>
          <w:tab w:val="left" w:pos="841"/>
        </w:tabs>
        <w:spacing w:line="360" w:lineRule="auto"/>
        <w:ind w:right="116" w:firstLine="0"/>
        <w:jc w:val="left"/>
        <w:rPr>
          <w:lang w:val="cs-CZ"/>
        </w:rPr>
      </w:pPr>
    </w:p>
    <w:sectPr w:rsidR="00070F6A" w:rsidRPr="00FB0B7B">
      <w:pgSz w:w="11910" w:h="16840"/>
      <w:pgMar w:top="1340" w:right="13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0CE5"/>
    <w:multiLevelType w:val="multilevel"/>
    <w:tmpl w:val="32CAC6DC"/>
    <w:lvl w:ilvl="0">
      <w:start w:val="2"/>
      <w:numFmt w:val="decimal"/>
      <w:lvlText w:val="%1"/>
      <w:lvlJc w:val="left"/>
      <w:pPr>
        <w:ind w:left="120" w:hanging="449"/>
        <w:jc w:val="left"/>
      </w:pPr>
      <w:rPr>
        <w:rFonts w:hint="default"/>
        <w:lang w:val="en-GB" w:eastAsia="en-GB" w:bidi="en-GB"/>
      </w:rPr>
    </w:lvl>
    <w:lvl w:ilvl="1">
      <w:start w:val="3"/>
      <w:numFmt w:val="decimal"/>
      <w:lvlText w:val="%1.%2"/>
      <w:lvlJc w:val="left"/>
      <w:pPr>
        <w:ind w:left="120" w:hanging="449"/>
        <w:jc w:val="left"/>
      </w:pPr>
      <w:rPr>
        <w:rFonts w:ascii="Verdana" w:eastAsia="Verdana" w:hAnsi="Verdana" w:cs="Verdana" w:hint="default"/>
        <w:spacing w:val="-2"/>
        <w:w w:val="100"/>
        <w:sz w:val="22"/>
        <w:szCs w:val="22"/>
        <w:lang w:val="en-GB" w:eastAsia="en-GB" w:bidi="en-GB"/>
      </w:rPr>
    </w:lvl>
    <w:lvl w:ilvl="2">
      <w:numFmt w:val="bullet"/>
      <w:lvlText w:val=""/>
      <w:lvlJc w:val="left"/>
      <w:pPr>
        <w:ind w:left="839" w:hanging="361"/>
      </w:pPr>
      <w:rPr>
        <w:rFonts w:ascii="Symbol" w:eastAsia="Symbol" w:hAnsi="Symbol" w:cs="Symbol" w:hint="default"/>
        <w:w w:val="100"/>
        <w:sz w:val="22"/>
        <w:szCs w:val="22"/>
        <w:lang w:val="en-GB" w:eastAsia="en-GB" w:bidi="en-GB"/>
      </w:rPr>
    </w:lvl>
    <w:lvl w:ilvl="3">
      <w:numFmt w:val="bullet"/>
      <w:lvlText w:val="•"/>
      <w:lvlJc w:val="left"/>
      <w:pPr>
        <w:ind w:left="2712" w:hanging="361"/>
      </w:pPr>
      <w:rPr>
        <w:rFonts w:hint="default"/>
        <w:lang w:val="en-GB" w:eastAsia="en-GB" w:bidi="en-GB"/>
      </w:rPr>
    </w:lvl>
    <w:lvl w:ilvl="4">
      <w:numFmt w:val="bullet"/>
      <w:lvlText w:val="•"/>
      <w:lvlJc w:val="left"/>
      <w:pPr>
        <w:ind w:left="3648" w:hanging="361"/>
      </w:pPr>
      <w:rPr>
        <w:rFonts w:hint="default"/>
        <w:lang w:val="en-GB" w:eastAsia="en-GB" w:bidi="en-GB"/>
      </w:rPr>
    </w:lvl>
    <w:lvl w:ilvl="5">
      <w:numFmt w:val="bullet"/>
      <w:lvlText w:val="•"/>
      <w:lvlJc w:val="left"/>
      <w:pPr>
        <w:ind w:left="4585" w:hanging="361"/>
      </w:pPr>
      <w:rPr>
        <w:rFonts w:hint="default"/>
        <w:lang w:val="en-GB" w:eastAsia="en-GB" w:bidi="en-GB"/>
      </w:rPr>
    </w:lvl>
    <w:lvl w:ilvl="6">
      <w:numFmt w:val="bullet"/>
      <w:lvlText w:val="•"/>
      <w:lvlJc w:val="left"/>
      <w:pPr>
        <w:ind w:left="5521" w:hanging="361"/>
      </w:pPr>
      <w:rPr>
        <w:rFonts w:hint="default"/>
        <w:lang w:val="en-GB" w:eastAsia="en-GB" w:bidi="en-GB"/>
      </w:rPr>
    </w:lvl>
    <w:lvl w:ilvl="7">
      <w:numFmt w:val="bullet"/>
      <w:lvlText w:val="•"/>
      <w:lvlJc w:val="left"/>
      <w:pPr>
        <w:ind w:left="6457" w:hanging="361"/>
      </w:pPr>
      <w:rPr>
        <w:rFonts w:hint="default"/>
        <w:lang w:val="en-GB" w:eastAsia="en-GB" w:bidi="en-GB"/>
      </w:rPr>
    </w:lvl>
    <w:lvl w:ilvl="8">
      <w:numFmt w:val="bullet"/>
      <w:lvlText w:val="•"/>
      <w:lvlJc w:val="left"/>
      <w:pPr>
        <w:ind w:left="739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A"/>
    <w:rsid w:val="00070F6A"/>
    <w:rsid w:val="001E0639"/>
    <w:rsid w:val="00257AD5"/>
    <w:rsid w:val="002B1C57"/>
    <w:rsid w:val="00330963"/>
    <w:rsid w:val="003555DB"/>
    <w:rsid w:val="00463C62"/>
    <w:rsid w:val="004B5FCA"/>
    <w:rsid w:val="006837F3"/>
    <w:rsid w:val="006A2043"/>
    <w:rsid w:val="008454E5"/>
    <w:rsid w:val="00866DDD"/>
    <w:rsid w:val="009D60FF"/>
    <w:rsid w:val="00A31B2A"/>
    <w:rsid w:val="00A32866"/>
    <w:rsid w:val="00AA5544"/>
    <w:rsid w:val="00B23608"/>
    <w:rsid w:val="00B35FB7"/>
    <w:rsid w:val="00B55702"/>
    <w:rsid w:val="00DE31D0"/>
    <w:rsid w:val="00E626A8"/>
    <w:rsid w:val="00EA61D8"/>
    <w:rsid w:val="00EE0919"/>
    <w:rsid w:val="00EE7728"/>
    <w:rsid w:val="00F94DCA"/>
    <w:rsid w:val="00FB0B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87EC-DA41-429E-9A99-51AA8F7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Verdana" w:eastAsia="Verdana" w:hAnsi="Verdana" w:cs="Verdana"/>
      <w:lang w:val="en-GB" w:eastAsia="en-GB" w:bidi="en-GB"/>
    </w:rPr>
  </w:style>
  <w:style w:type="paragraph" w:styleId="Nadpis1">
    <w:name w:val="heading 1"/>
    <w:basedOn w:val="Normln"/>
    <w:uiPriority w:val="9"/>
    <w:qFormat/>
    <w:pPr>
      <w:ind w:left="12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40" w:right="114" w:hanging="361"/>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6A20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043"/>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751</Words>
  <Characters>4517</Characters>
  <Application>Microsoft Office Word</Application>
  <DocSecurity>0</DocSecurity>
  <Lines>96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London2012</dc:creator>
  <cp:lastModifiedBy>Irena Vicarova</cp:lastModifiedBy>
  <cp:revision>11</cp:revision>
  <dcterms:created xsi:type="dcterms:W3CDTF">2018-12-18T11:47:00Z</dcterms:created>
  <dcterms:modified xsi:type="dcterms:W3CDTF">2019-01-30T14:44:00Z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18 for Word</vt:lpwstr>
  </property>
  <property fmtid="{D5CDD505-2E9C-101B-9397-08002B2CF9AE}" pid="4" name="LastSaved">
    <vt:filetime>2018-10-10T00:00:00Z</vt:filetime>
  </property>
</Properties>
</file>