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537" w:rsidRDefault="008217E0" w:rsidP="00294537">
      <w:pPr>
        <w:pStyle w:val="Zkladntext"/>
        <w:spacing w:before="32" w:line="254" w:lineRule="auto"/>
        <w:ind w:right="107"/>
        <w:jc w:val="right"/>
        <w:rPr>
          <w:rFonts w:ascii="Arial"/>
          <w:w w:val="95"/>
          <w:lang w:val="cs-CZ"/>
        </w:rPr>
      </w:pPr>
      <w:r>
        <w:rPr>
          <w:rFonts w:ascii="Arial"/>
          <w:w w:val="95"/>
          <w:lang w:val="cs-CZ"/>
        </w:rPr>
        <w:t>Rozhodnut</w:t>
      </w:r>
      <w:r>
        <w:rPr>
          <w:rFonts w:ascii="Arial"/>
          <w:w w:val="95"/>
          <w:lang w:val="cs-CZ"/>
        </w:rPr>
        <w:t>í</w:t>
      </w:r>
      <w:r>
        <w:rPr>
          <w:rFonts w:ascii="Arial"/>
          <w:w w:val="95"/>
          <w:lang w:val="cs-CZ"/>
        </w:rPr>
        <w:t xml:space="preserve"> Nez</w:t>
      </w:r>
      <w:r>
        <w:rPr>
          <w:rFonts w:ascii="Arial"/>
          <w:w w:val="95"/>
          <w:lang w:val="cs-CZ"/>
        </w:rPr>
        <w:t>á</w:t>
      </w:r>
      <w:r>
        <w:rPr>
          <w:rFonts w:ascii="Arial"/>
          <w:w w:val="95"/>
          <w:lang w:val="cs-CZ"/>
        </w:rPr>
        <w:t>vis</w:t>
      </w:r>
      <w:r w:rsidR="00294537">
        <w:rPr>
          <w:rFonts w:ascii="Arial"/>
          <w:w w:val="95"/>
          <w:lang w:val="cs-CZ"/>
        </w:rPr>
        <w:t>l</w:t>
      </w:r>
      <w:r>
        <w:rPr>
          <w:rFonts w:ascii="Arial"/>
          <w:w w:val="95"/>
          <w:lang w:val="cs-CZ"/>
        </w:rPr>
        <w:t>é</w:t>
      </w:r>
      <w:r>
        <w:rPr>
          <w:rFonts w:ascii="Arial"/>
          <w:w w:val="95"/>
          <w:lang w:val="cs-CZ"/>
        </w:rPr>
        <w:t>ho soudu (b</w:t>
      </w:r>
      <w:r>
        <w:rPr>
          <w:rFonts w:ascii="Arial"/>
          <w:w w:val="95"/>
          <w:lang w:val="cs-CZ"/>
        </w:rPr>
        <w:t>ř</w:t>
      </w:r>
      <w:r>
        <w:rPr>
          <w:rFonts w:ascii="Arial"/>
          <w:w w:val="95"/>
          <w:lang w:val="cs-CZ"/>
        </w:rPr>
        <w:t xml:space="preserve">ezen </w:t>
      </w:r>
      <w:r w:rsidR="0002739F" w:rsidRPr="00294537">
        <w:rPr>
          <w:rFonts w:ascii="Arial"/>
          <w:w w:val="95"/>
          <w:lang w:val="cs-CZ"/>
        </w:rPr>
        <w:t xml:space="preserve">2017) </w:t>
      </w:r>
    </w:p>
    <w:p w:rsidR="007E7699" w:rsidRPr="00294537" w:rsidRDefault="008217E0" w:rsidP="00294537">
      <w:pPr>
        <w:pStyle w:val="Zkladntext"/>
        <w:spacing w:before="32" w:line="254" w:lineRule="auto"/>
        <w:ind w:right="107"/>
        <w:jc w:val="right"/>
        <w:rPr>
          <w:rFonts w:ascii="Arial"/>
          <w:lang w:val="cs-CZ"/>
        </w:rPr>
      </w:pPr>
      <w:r>
        <w:rPr>
          <w:rFonts w:ascii="Arial"/>
          <w:w w:val="95"/>
          <w:lang w:val="cs-CZ"/>
        </w:rPr>
        <w:t>ITF v</w:t>
      </w:r>
      <w:r>
        <w:rPr>
          <w:rFonts w:ascii="Arial"/>
          <w:w w:val="95"/>
          <w:lang w:val="cs-CZ"/>
        </w:rPr>
        <w:t> </w:t>
      </w:r>
      <w:r>
        <w:rPr>
          <w:rFonts w:ascii="Arial"/>
          <w:w w:val="95"/>
          <w:lang w:val="cs-CZ"/>
        </w:rPr>
        <w:t>Hr</w:t>
      </w:r>
      <w:r>
        <w:rPr>
          <w:rFonts w:ascii="Arial"/>
          <w:w w:val="95"/>
          <w:lang w:val="cs-CZ"/>
        </w:rPr>
        <w:t>áč</w:t>
      </w:r>
      <w:r>
        <w:rPr>
          <w:rFonts w:ascii="Arial"/>
          <w:w w:val="95"/>
          <w:lang w:val="cs-CZ"/>
        </w:rPr>
        <w:t xml:space="preserve"> G </w:t>
      </w:r>
    </w:p>
    <w:p w:rsidR="007E7699" w:rsidRPr="00294537" w:rsidRDefault="007E7699">
      <w:pPr>
        <w:pStyle w:val="Zkladntext"/>
        <w:rPr>
          <w:rFonts w:ascii="Arial"/>
          <w:sz w:val="20"/>
          <w:lang w:val="cs-CZ"/>
        </w:rPr>
      </w:pPr>
    </w:p>
    <w:p w:rsidR="007E7699" w:rsidRPr="00294537" w:rsidRDefault="007E7699">
      <w:pPr>
        <w:pStyle w:val="Zkladntext"/>
        <w:rPr>
          <w:rFonts w:ascii="Arial"/>
          <w:sz w:val="20"/>
          <w:lang w:val="cs-CZ"/>
        </w:rPr>
      </w:pPr>
    </w:p>
    <w:p w:rsidR="007E7699" w:rsidRPr="00294537" w:rsidRDefault="007E7699">
      <w:pPr>
        <w:pStyle w:val="Zkladntext"/>
        <w:spacing w:before="7"/>
        <w:rPr>
          <w:rFonts w:ascii="Arial"/>
          <w:sz w:val="18"/>
          <w:lang w:val="cs-CZ"/>
        </w:rPr>
      </w:pPr>
    </w:p>
    <w:p w:rsidR="007E7699" w:rsidRPr="00294537" w:rsidRDefault="00812B5E" w:rsidP="009930A1">
      <w:pPr>
        <w:spacing w:before="101" w:line="276" w:lineRule="auto"/>
        <w:ind w:left="2410" w:right="56" w:hanging="1843"/>
        <w:rPr>
          <w:b/>
          <w:sz w:val="28"/>
          <w:lang w:val="cs-CZ"/>
        </w:rPr>
      </w:pPr>
      <w:r w:rsidRPr="00294537">
        <w:rPr>
          <w:b/>
          <w:sz w:val="28"/>
          <w:lang w:val="cs-CZ"/>
        </w:rPr>
        <w:t>Případ č. 23</w:t>
      </w:r>
      <w:r w:rsidR="003362D0">
        <w:rPr>
          <w:b/>
          <w:sz w:val="28"/>
          <w:lang w:val="cs-CZ"/>
        </w:rPr>
        <w:t xml:space="preserve"> – Odvolání ve věci rozhodnutí o způsobilosti</w:t>
      </w:r>
      <w:r w:rsidR="00294537">
        <w:rPr>
          <w:b/>
          <w:sz w:val="28"/>
          <w:lang w:val="cs-CZ"/>
        </w:rPr>
        <w:t xml:space="preserve"> pro</w:t>
      </w:r>
      <w:r w:rsidRPr="00294537">
        <w:rPr>
          <w:b/>
          <w:sz w:val="28"/>
          <w:lang w:val="cs-CZ"/>
        </w:rPr>
        <w:t xml:space="preserve"> </w:t>
      </w:r>
      <w:r w:rsidR="003362D0">
        <w:rPr>
          <w:b/>
          <w:sz w:val="28"/>
          <w:lang w:val="cs-CZ"/>
        </w:rPr>
        <w:t xml:space="preserve">Davis Cup 2015 </w:t>
      </w:r>
    </w:p>
    <w:p w:rsidR="00294537" w:rsidRDefault="00294537">
      <w:pPr>
        <w:pStyle w:val="Nadpis1"/>
        <w:spacing w:before="79"/>
        <w:rPr>
          <w:lang w:val="cs-CZ"/>
        </w:rPr>
      </w:pPr>
    </w:p>
    <w:p w:rsidR="007E7699" w:rsidRPr="00294537" w:rsidRDefault="003362D0">
      <w:pPr>
        <w:pStyle w:val="Nadpis1"/>
        <w:spacing w:before="79"/>
        <w:rPr>
          <w:lang w:val="cs-CZ"/>
        </w:rPr>
      </w:pPr>
      <w:r>
        <w:rPr>
          <w:lang w:val="cs-CZ"/>
        </w:rPr>
        <w:t xml:space="preserve">Klíčová slova </w:t>
      </w:r>
    </w:p>
    <w:p w:rsidR="007E7699" w:rsidRPr="00294537" w:rsidRDefault="007E7699">
      <w:pPr>
        <w:pStyle w:val="Zkladntext"/>
        <w:spacing w:before="8"/>
        <w:rPr>
          <w:b/>
          <w:sz w:val="30"/>
          <w:lang w:val="cs-CZ"/>
        </w:rPr>
      </w:pPr>
    </w:p>
    <w:p w:rsidR="007E7699" w:rsidRPr="00294537" w:rsidRDefault="003362D0">
      <w:pPr>
        <w:spacing w:before="1" w:line="360" w:lineRule="auto"/>
        <w:ind w:left="120" w:right="118"/>
        <w:jc w:val="both"/>
        <w:rPr>
          <w:i/>
          <w:lang w:val="cs-CZ"/>
        </w:rPr>
      </w:pPr>
      <w:r>
        <w:rPr>
          <w:i/>
          <w:lang w:val="cs-CZ"/>
        </w:rPr>
        <w:t xml:space="preserve">Národnost; Článek 49; Smlouva o </w:t>
      </w:r>
      <w:r w:rsidR="00432DCF">
        <w:rPr>
          <w:i/>
          <w:lang w:val="cs-CZ"/>
        </w:rPr>
        <w:t>fungování</w:t>
      </w:r>
      <w:r>
        <w:rPr>
          <w:i/>
          <w:lang w:val="cs-CZ"/>
        </w:rPr>
        <w:t xml:space="preserve"> EU; Neoprávněné omezení; Způsobilost; Sportovní </w:t>
      </w:r>
      <w:r w:rsidR="008217E0">
        <w:rPr>
          <w:i/>
          <w:lang w:val="cs-CZ"/>
        </w:rPr>
        <w:t>výjimka</w:t>
      </w:r>
      <w:r>
        <w:rPr>
          <w:i/>
          <w:lang w:val="cs-CZ"/>
        </w:rPr>
        <w:t xml:space="preserve">; Ekonomická činnost; </w:t>
      </w:r>
      <w:r w:rsidR="00294537">
        <w:rPr>
          <w:i/>
          <w:color w:val="0070C0"/>
          <w:lang w:val="cs-CZ"/>
        </w:rPr>
        <w:t>Spravedlivý výběr sportovců</w:t>
      </w:r>
    </w:p>
    <w:p w:rsidR="007E7699" w:rsidRPr="00294537" w:rsidRDefault="007E7699">
      <w:pPr>
        <w:pStyle w:val="Zkladntext"/>
        <w:rPr>
          <w:i/>
          <w:sz w:val="26"/>
          <w:lang w:val="cs-CZ"/>
        </w:rPr>
      </w:pPr>
    </w:p>
    <w:p w:rsidR="007E7699" w:rsidRPr="00294537" w:rsidRDefault="007E7699">
      <w:pPr>
        <w:pStyle w:val="Zkladntext"/>
        <w:rPr>
          <w:i/>
          <w:sz w:val="26"/>
          <w:lang w:val="cs-CZ"/>
        </w:rPr>
      </w:pPr>
    </w:p>
    <w:p w:rsidR="007E7699" w:rsidRPr="00294537" w:rsidRDefault="007E7699">
      <w:pPr>
        <w:pStyle w:val="Zkladntext"/>
        <w:spacing w:before="5"/>
        <w:rPr>
          <w:i/>
          <w:sz w:val="20"/>
          <w:lang w:val="cs-CZ"/>
        </w:rPr>
      </w:pPr>
    </w:p>
    <w:p w:rsidR="007E7699" w:rsidRPr="00294537" w:rsidRDefault="003362D0">
      <w:pPr>
        <w:pStyle w:val="Nadpis1"/>
        <w:ind w:left="119"/>
        <w:rPr>
          <w:lang w:val="cs-CZ"/>
        </w:rPr>
      </w:pPr>
      <w:r>
        <w:rPr>
          <w:lang w:val="cs-CZ"/>
        </w:rPr>
        <w:t xml:space="preserve">Shrnutí </w:t>
      </w:r>
    </w:p>
    <w:p w:rsidR="007E7699" w:rsidRPr="00294537" w:rsidRDefault="007E7699">
      <w:pPr>
        <w:pStyle w:val="Zkladntext"/>
        <w:spacing w:before="8"/>
        <w:rPr>
          <w:b/>
          <w:sz w:val="30"/>
          <w:lang w:val="cs-CZ"/>
        </w:rPr>
      </w:pPr>
    </w:p>
    <w:p w:rsidR="007E7699" w:rsidRPr="00294537" w:rsidRDefault="003362D0" w:rsidP="00294537">
      <w:pPr>
        <w:pStyle w:val="Zkladntext"/>
        <w:spacing w:before="1" w:line="360" w:lineRule="auto"/>
        <w:ind w:left="119" w:right="118"/>
        <w:jc w:val="both"/>
        <w:rPr>
          <w:sz w:val="26"/>
          <w:lang w:val="cs-CZ"/>
        </w:rPr>
      </w:pPr>
      <w:r>
        <w:rPr>
          <w:lang w:val="cs-CZ"/>
        </w:rPr>
        <w:t xml:space="preserve">Hráč G </w:t>
      </w:r>
      <w:r w:rsidR="008217E0">
        <w:rPr>
          <w:lang w:val="cs-CZ"/>
        </w:rPr>
        <w:t>a</w:t>
      </w:r>
      <w:r>
        <w:rPr>
          <w:lang w:val="cs-CZ"/>
        </w:rPr>
        <w:t> asociac</w:t>
      </w:r>
      <w:r w:rsidR="008217E0">
        <w:rPr>
          <w:lang w:val="cs-CZ"/>
        </w:rPr>
        <w:t>e</w:t>
      </w:r>
      <w:r>
        <w:rPr>
          <w:lang w:val="cs-CZ"/>
        </w:rPr>
        <w:t xml:space="preserve"> tenisu </w:t>
      </w:r>
      <w:proofErr w:type="spellStart"/>
      <w:r>
        <w:rPr>
          <w:lang w:val="cs-CZ"/>
        </w:rPr>
        <w:t>Law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Tennis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Association</w:t>
      </w:r>
      <w:proofErr w:type="spellEnd"/>
      <w:r>
        <w:rPr>
          <w:lang w:val="cs-CZ"/>
        </w:rPr>
        <w:t xml:space="preserve"> (LTA) </w:t>
      </w:r>
      <w:r w:rsidR="00AA2885">
        <w:rPr>
          <w:lang w:val="cs-CZ"/>
        </w:rPr>
        <w:t xml:space="preserve">se odvolali proti rozhodnutí Mezinárodní tenisové federace (ITF) neudělit Hráči G </w:t>
      </w:r>
      <w:r w:rsidR="008217E0">
        <w:rPr>
          <w:lang w:val="cs-CZ"/>
        </w:rPr>
        <w:t>výjimku</w:t>
      </w:r>
      <w:r w:rsidR="00AA2885">
        <w:rPr>
          <w:lang w:val="cs-CZ"/>
        </w:rPr>
        <w:t xml:space="preserve"> z</w:t>
      </w:r>
      <w:r w:rsidR="008217E0">
        <w:rPr>
          <w:lang w:val="cs-CZ"/>
        </w:rPr>
        <w:t xml:space="preserve"> pravidel </w:t>
      </w:r>
      <w:r w:rsidR="00AA2885">
        <w:rPr>
          <w:lang w:val="cs-CZ"/>
        </w:rPr>
        <w:t xml:space="preserve">způsobilosti, aby mohl reprezentovat Velkou Británii v Davis </w:t>
      </w:r>
      <w:proofErr w:type="spellStart"/>
      <w:r w:rsidR="00AA2885">
        <w:rPr>
          <w:lang w:val="cs-CZ"/>
        </w:rPr>
        <w:t>Cupu</w:t>
      </w:r>
      <w:proofErr w:type="spellEnd"/>
      <w:r w:rsidR="00AA2885">
        <w:rPr>
          <w:lang w:val="cs-CZ"/>
        </w:rPr>
        <w:t xml:space="preserve"> v roce 2015. Věc byla předána k rozhodnutí Nezávislému soudu ITF</w:t>
      </w:r>
      <w:r w:rsidR="0002739F" w:rsidRPr="00294537">
        <w:rPr>
          <w:lang w:val="cs-CZ"/>
        </w:rPr>
        <w:t>.</w:t>
      </w:r>
    </w:p>
    <w:p w:rsidR="007E7699" w:rsidRPr="00294537" w:rsidRDefault="007E7699">
      <w:pPr>
        <w:pStyle w:val="Zkladntext"/>
        <w:rPr>
          <w:sz w:val="26"/>
          <w:lang w:val="cs-CZ"/>
        </w:rPr>
      </w:pPr>
    </w:p>
    <w:p w:rsidR="007E7699" w:rsidRPr="00294537" w:rsidRDefault="007E7699">
      <w:pPr>
        <w:pStyle w:val="Zkladntext"/>
        <w:spacing w:before="6"/>
        <w:rPr>
          <w:sz w:val="20"/>
          <w:lang w:val="cs-CZ"/>
        </w:rPr>
      </w:pPr>
    </w:p>
    <w:p w:rsidR="007E7699" w:rsidRPr="00294537" w:rsidRDefault="00AA2885">
      <w:pPr>
        <w:pStyle w:val="Nadpis1"/>
        <w:ind w:left="119"/>
        <w:rPr>
          <w:lang w:val="cs-CZ"/>
        </w:rPr>
      </w:pPr>
      <w:r>
        <w:rPr>
          <w:lang w:val="cs-CZ"/>
        </w:rPr>
        <w:t xml:space="preserve">Kontext </w:t>
      </w:r>
    </w:p>
    <w:p w:rsidR="007E7699" w:rsidRPr="00294537" w:rsidRDefault="007E7699">
      <w:pPr>
        <w:pStyle w:val="Zkladntext"/>
        <w:spacing w:before="9"/>
        <w:rPr>
          <w:b/>
          <w:sz w:val="30"/>
          <w:lang w:val="cs-CZ"/>
        </w:rPr>
      </w:pPr>
    </w:p>
    <w:p w:rsidR="007E7699" w:rsidRDefault="00AA2885" w:rsidP="00294537">
      <w:pPr>
        <w:pStyle w:val="Zkladntext"/>
        <w:spacing w:line="360" w:lineRule="auto"/>
        <w:ind w:left="119" w:right="117" w:hanging="1"/>
        <w:jc w:val="both"/>
        <w:rPr>
          <w:lang w:val="cs-CZ"/>
        </w:rPr>
      </w:pPr>
      <w:r>
        <w:rPr>
          <w:lang w:val="cs-CZ"/>
        </w:rPr>
        <w:t>Hráč G se narodil v zemi A</w:t>
      </w:r>
      <w:r w:rsidR="00A701B3">
        <w:rPr>
          <w:lang w:val="cs-CZ"/>
        </w:rPr>
        <w:t xml:space="preserve">, kterou </w:t>
      </w:r>
      <w:r w:rsidR="007A6886">
        <w:rPr>
          <w:lang w:val="cs-CZ"/>
        </w:rPr>
        <w:t xml:space="preserve">reprezentoval v Davis </w:t>
      </w:r>
      <w:proofErr w:type="spellStart"/>
      <w:r w:rsidR="007A6886">
        <w:rPr>
          <w:lang w:val="cs-CZ"/>
        </w:rPr>
        <w:t>Cupu</w:t>
      </w:r>
      <w:proofErr w:type="spellEnd"/>
      <w:r w:rsidR="007A6886">
        <w:rPr>
          <w:lang w:val="cs-CZ"/>
        </w:rPr>
        <w:t xml:space="preserve"> v letech </w:t>
      </w:r>
      <w:r w:rsidR="007A6886" w:rsidRPr="00F648B6">
        <w:rPr>
          <w:lang w:val="cs-CZ"/>
        </w:rPr>
        <w:t>2010, 2011, 2012</w:t>
      </w:r>
      <w:r w:rsidR="007A6886" w:rsidRPr="00F648B6">
        <w:rPr>
          <w:spacing w:val="-9"/>
          <w:lang w:val="cs-CZ"/>
        </w:rPr>
        <w:t xml:space="preserve"> </w:t>
      </w:r>
      <w:r w:rsidR="007A6886" w:rsidRPr="00F648B6">
        <w:rPr>
          <w:lang w:val="cs-CZ"/>
        </w:rPr>
        <w:t>a</w:t>
      </w:r>
      <w:r w:rsidR="007A6886" w:rsidRPr="00F648B6">
        <w:rPr>
          <w:spacing w:val="-8"/>
          <w:lang w:val="cs-CZ"/>
        </w:rPr>
        <w:t xml:space="preserve"> </w:t>
      </w:r>
      <w:r w:rsidR="007A6886" w:rsidRPr="00F648B6">
        <w:rPr>
          <w:lang w:val="cs-CZ"/>
        </w:rPr>
        <w:t>2013</w:t>
      </w:r>
      <w:r w:rsidR="007A6886">
        <w:rPr>
          <w:lang w:val="cs-CZ"/>
        </w:rPr>
        <w:t xml:space="preserve">. </w:t>
      </w:r>
      <w:r w:rsidR="004746B8">
        <w:rPr>
          <w:lang w:val="cs-CZ"/>
        </w:rPr>
        <w:t xml:space="preserve">V prosinci 2014 požádal sportovec o britské občanství, jež mu bylo přiznáno v březnu 2015. V té době ITF změnila kritéria způsobilosti pro soutěžení v Davis </w:t>
      </w:r>
      <w:proofErr w:type="spellStart"/>
      <w:r w:rsidR="004746B8">
        <w:rPr>
          <w:lang w:val="cs-CZ"/>
        </w:rPr>
        <w:t>Cupu</w:t>
      </w:r>
      <w:proofErr w:type="spellEnd"/>
      <w:r w:rsidR="004746B8">
        <w:rPr>
          <w:lang w:val="cs-CZ"/>
        </w:rPr>
        <w:t xml:space="preserve"> 2015. Způsobilost byla předtím upravena Nařízením </w:t>
      </w:r>
      <w:r w:rsidR="00A701B3">
        <w:rPr>
          <w:lang w:val="cs-CZ"/>
        </w:rPr>
        <w:t>č. </w:t>
      </w:r>
      <w:r w:rsidR="004746B8">
        <w:rPr>
          <w:lang w:val="cs-CZ"/>
        </w:rPr>
        <w:t xml:space="preserve">34(a) pro Davis Cup, ale toto bylo nahrazeno Nařízením </w:t>
      </w:r>
      <w:r w:rsidR="00A701B3">
        <w:rPr>
          <w:lang w:val="cs-CZ"/>
        </w:rPr>
        <w:t xml:space="preserve">č. </w:t>
      </w:r>
      <w:r w:rsidR="004746B8">
        <w:rPr>
          <w:lang w:val="cs-CZ"/>
        </w:rPr>
        <w:t xml:space="preserve">35, jež nabylo účinnosti pro Davis Cup 2015. Nařízením </w:t>
      </w:r>
      <w:r w:rsidR="00A701B3">
        <w:rPr>
          <w:lang w:val="cs-CZ"/>
        </w:rPr>
        <w:t xml:space="preserve">č. </w:t>
      </w:r>
      <w:r w:rsidR="004746B8">
        <w:rPr>
          <w:lang w:val="cs-CZ"/>
        </w:rPr>
        <w:t xml:space="preserve">35 </w:t>
      </w:r>
      <w:r w:rsidR="00A701B3">
        <w:rPr>
          <w:lang w:val="cs-CZ"/>
        </w:rPr>
        <w:t>bylo zavedeno</w:t>
      </w:r>
      <w:r w:rsidR="004746B8">
        <w:rPr>
          <w:lang w:val="cs-CZ"/>
        </w:rPr>
        <w:t xml:space="preserve"> pravidlo „jedné země“. Toto pravidlo zamezuje hráčům sout</w:t>
      </w:r>
      <w:r w:rsidR="00A701B3">
        <w:rPr>
          <w:lang w:val="cs-CZ"/>
        </w:rPr>
        <w:t>ěžit</w:t>
      </w:r>
      <w:r w:rsidR="004746B8">
        <w:rPr>
          <w:lang w:val="cs-CZ"/>
        </w:rPr>
        <w:t xml:space="preserve"> v Davis </w:t>
      </w:r>
      <w:proofErr w:type="spellStart"/>
      <w:r w:rsidR="004746B8">
        <w:rPr>
          <w:lang w:val="cs-CZ"/>
        </w:rPr>
        <w:t>Cupu</w:t>
      </w:r>
      <w:proofErr w:type="spellEnd"/>
      <w:r w:rsidR="004746B8">
        <w:rPr>
          <w:lang w:val="cs-CZ"/>
        </w:rPr>
        <w:t xml:space="preserve">, pokud již </w:t>
      </w:r>
      <w:r w:rsidR="00A701B3">
        <w:rPr>
          <w:lang w:val="cs-CZ"/>
        </w:rPr>
        <w:t xml:space="preserve">dříve reprezentovali jiný národ </w:t>
      </w:r>
      <w:r w:rsidR="004746B8">
        <w:rPr>
          <w:lang w:val="cs-CZ"/>
        </w:rPr>
        <w:t xml:space="preserve">na mezinárodní profesionální úrovni v kategorii senior. </w:t>
      </w:r>
    </w:p>
    <w:p w:rsidR="00294537" w:rsidRDefault="00294537" w:rsidP="00294537">
      <w:pPr>
        <w:pStyle w:val="Zkladntext"/>
        <w:spacing w:line="360" w:lineRule="auto"/>
        <w:ind w:left="119" w:right="117" w:hanging="1"/>
        <w:jc w:val="both"/>
        <w:rPr>
          <w:lang w:val="cs-CZ"/>
        </w:rPr>
      </w:pPr>
    </w:p>
    <w:p w:rsidR="004746B8" w:rsidRPr="00294537" w:rsidRDefault="004746B8">
      <w:pPr>
        <w:spacing w:line="360" w:lineRule="auto"/>
        <w:jc w:val="both"/>
        <w:rPr>
          <w:lang w:val="cs-CZ"/>
        </w:rPr>
        <w:sectPr w:rsidR="004746B8" w:rsidRPr="00294537">
          <w:type w:val="continuous"/>
          <w:pgSz w:w="11910" w:h="16840"/>
          <w:pgMar w:top="660" w:right="1320" w:bottom="280" w:left="1320" w:header="708" w:footer="708" w:gutter="0"/>
          <w:cols w:space="708"/>
        </w:sectPr>
      </w:pPr>
      <w:r>
        <w:rPr>
          <w:lang w:val="cs-CZ"/>
        </w:rPr>
        <w:t xml:space="preserve">Vzhledem ke změně pravidel způsobilosti pro Davis Cup požádala LTA o výjimku pro Hráče G podle Nařízení </w:t>
      </w:r>
      <w:r w:rsidR="00A701B3">
        <w:rPr>
          <w:lang w:val="cs-CZ"/>
        </w:rPr>
        <w:t xml:space="preserve">č. </w:t>
      </w:r>
      <w:r>
        <w:rPr>
          <w:lang w:val="cs-CZ"/>
        </w:rPr>
        <w:t xml:space="preserve">35(d). Výjimka ze způsobilosti </w:t>
      </w:r>
      <w:r w:rsidR="00A701B3">
        <w:rPr>
          <w:lang w:val="cs-CZ"/>
        </w:rPr>
        <w:t xml:space="preserve">umožňující </w:t>
      </w:r>
      <w:r>
        <w:rPr>
          <w:lang w:val="cs-CZ"/>
        </w:rPr>
        <w:t xml:space="preserve">reprezentovat Velkou Británii v Davis </w:t>
      </w:r>
      <w:proofErr w:type="spellStart"/>
      <w:r>
        <w:rPr>
          <w:lang w:val="cs-CZ"/>
        </w:rPr>
        <w:t>Cupu</w:t>
      </w:r>
      <w:proofErr w:type="spellEnd"/>
      <w:r>
        <w:rPr>
          <w:lang w:val="cs-CZ"/>
        </w:rPr>
        <w:t xml:space="preserve"> 2015 nicméně </w:t>
      </w:r>
      <w:r w:rsidR="00A701B3">
        <w:rPr>
          <w:lang w:val="cs-CZ"/>
        </w:rPr>
        <w:t xml:space="preserve">sportovci </w:t>
      </w:r>
      <w:r>
        <w:rPr>
          <w:lang w:val="cs-CZ"/>
        </w:rPr>
        <w:t xml:space="preserve">udělena nebyla. </w:t>
      </w:r>
    </w:p>
    <w:p w:rsidR="00294537" w:rsidRDefault="00294537">
      <w:pPr>
        <w:pStyle w:val="Nadpis1"/>
        <w:spacing w:before="81"/>
        <w:jc w:val="both"/>
        <w:rPr>
          <w:lang w:val="cs-CZ"/>
        </w:rPr>
      </w:pPr>
    </w:p>
    <w:p w:rsidR="007E7699" w:rsidRPr="00294537" w:rsidRDefault="001C1845">
      <w:pPr>
        <w:pStyle w:val="Nadpis1"/>
        <w:spacing w:before="81"/>
        <w:jc w:val="both"/>
        <w:rPr>
          <w:lang w:val="cs-CZ"/>
        </w:rPr>
      </w:pPr>
      <w:bookmarkStart w:id="0" w:name="_GoBack"/>
      <w:bookmarkEnd w:id="0"/>
      <w:r>
        <w:rPr>
          <w:lang w:val="cs-CZ"/>
        </w:rPr>
        <w:t xml:space="preserve">Zdůvodnění a rozhodnutí soudu </w:t>
      </w:r>
    </w:p>
    <w:p w:rsidR="007E7699" w:rsidRPr="00294537" w:rsidRDefault="007E7699">
      <w:pPr>
        <w:pStyle w:val="Zkladntext"/>
        <w:spacing w:before="9"/>
        <w:rPr>
          <w:b/>
          <w:sz w:val="30"/>
          <w:lang w:val="cs-CZ"/>
        </w:rPr>
      </w:pPr>
    </w:p>
    <w:p w:rsidR="00432DCF" w:rsidRDefault="00432DCF">
      <w:pPr>
        <w:pStyle w:val="Zkladntext"/>
        <w:spacing w:line="360" w:lineRule="auto"/>
        <w:ind w:left="119" w:right="115"/>
        <w:jc w:val="both"/>
        <w:rPr>
          <w:lang w:val="cs-CZ"/>
        </w:rPr>
      </w:pPr>
      <w:r>
        <w:rPr>
          <w:lang w:val="cs-CZ"/>
        </w:rPr>
        <w:t>Hráč G a LTA se odvolali proti rozhodnutí na základě nezákonnosti implementace nového pravidla a rozhodnutí neudělit výjimku. Předložili následující argumentaci: i) spojený účinek představoval neospravedlnitelné omezení svobody usazování sportovce</w:t>
      </w:r>
      <w:r w:rsidRPr="00A701B3">
        <w:rPr>
          <w:lang w:val="cs-CZ"/>
        </w:rPr>
        <w:t xml:space="preserve">, </w:t>
      </w:r>
      <w:r w:rsidR="00294537" w:rsidRPr="00A701B3">
        <w:rPr>
          <w:lang w:val="cs-CZ"/>
        </w:rPr>
        <w:t>jenž</w:t>
      </w:r>
      <w:r w:rsidRPr="00A701B3">
        <w:rPr>
          <w:lang w:val="cs-CZ"/>
        </w:rPr>
        <w:t xml:space="preserve"> přímo vyplývá z</w:t>
      </w:r>
      <w:r>
        <w:rPr>
          <w:lang w:val="cs-CZ"/>
        </w:rPr>
        <w:t xml:space="preserve"> Článku 49 Smlouvy o fungování Evropské Unie (TFEU); </w:t>
      </w:r>
      <w:proofErr w:type="spellStart"/>
      <w:r>
        <w:rPr>
          <w:lang w:val="cs-CZ"/>
        </w:rPr>
        <w:t>ii</w:t>
      </w:r>
      <w:proofErr w:type="spellEnd"/>
      <w:r>
        <w:rPr>
          <w:lang w:val="cs-CZ"/>
        </w:rPr>
        <w:t xml:space="preserve">) i pokud </w:t>
      </w:r>
      <w:r w:rsidR="00A701B3">
        <w:rPr>
          <w:lang w:val="cs-CZ"/>
        </w:rPr>
        <w:t>by bylo možné považovat</w:t>
      </w:r>
      <w:r>
        <w:rPr>
          <w:lang w:val="cs-CZ"/>
        </w:rPr>
        <w:t xml:space="preserve"> Nařízení </w:t>
      </w:r>
      <w:r w:rsidR="00A701B3">
        <w:rPr>
          <w:lang w:val="cs-CZ"/>
        </w:rPr>
        <w:t xml:space="preserve">č. </w:t>
      </w:r>
      <w:r>
        <w:rPr>
          <w:lang w:val="cs-CZ"/>
        </w:rPr>
        <w:t xml:space="preserve">35 </w:t>
      </w:r>
      <w:r w:rsidR="00A701B3">
        <w:rPr>
          <w:lang w:val="cs-CZ"/>
        </w:rPr>
        <w:t xml:space="preserve">za </w:t>
      </w:r>
      <w:r>
        <w:rPr>
          <w:lang w:val="cs-CZ"/>
        </w:rPr>
        <w:t xml:space="preserve">ospravedlnitelné, stále zůstává diskriminačním a nepřiměřeným, </w:t>
      </w:r>
      <w:r w:rsidR="00A701B3">
        <w:rPr>
          <w:lang w:val="cs-CZ"/>
        </w:rPr>
        <w:t>když</w:t>
      </w:r>
      <w:r>
        <w:rPr>
          <w:lang w:val="cs-CZ"/>
        </w:rPr>
        <w:t xml:space="preserve"> není sportovci udělena výjimka z jeho působnosti; a </w:t>
      </w:r>
      <w:proofErr w:type="spellStart"/>
      <w:r>
        <w:rPr>
          <w:lang w:val="cs-CZ"/>
        </w:rPr>
        <w:t>iii</w:t>
      </w:r>
      <w:proofErr w:type="spellEnd"/>
      <w:r>
        <w:rPr>
          <w:lang w:val="cs-CZ"/>
        </w:rPr>
        <w:t>) rozhodnutí neudělit sportovci výjimku bylo</w:t>
      </w:r>
      <w:r w:rsidR="00A701B3">
        <w:rPr>
          <w:lang w:val="cs-CZ"/>
        </w:rPr>
        <w:t xml:space="preserve"> jako takové</w:t>
      </w:r>
      <w:r>
        <w:rPr>
          <w:lang w:val="cs-CZ"/>
        </w:rPr>
        <w:t xml:space="preserve"> nespravedlivé a/nebo iracionální. Sportovec rovněž tvrdil, že v důsledku </w:t>
      </w:r>
      <w:r w:rsidR="00A701B3">
        <w:rPr>
          <w:lang w:val="cs-CZ"/>
        </w:rPr>
        <w:t xml:space="preserve">daného </w:t>
      </w:r>
      <w:r>
        <w:rPr>
          <w:lang w:val="cs-CZ"/>
        </w:rPr>
        <w:t xml:space="preserve">nezákonného </w:t>
      </w:r>
      <w:r w:rsidR="00A701B3">
        <w:rPr>
          <w:lang w:val="cs-CZ"/>
        </w:rPr>
        <w:t xml:space="preserve">postupu </w:t>
      </w:r>
      <w:r>
        <w:rPr>
          <w:lang w:val="cs-CZ"/>
        </w:rPr>
        <w:t xml:space="preserve">utrpěl přímé finanční ztráty. </w:t>
      </w:r>
    </w:p>
    <w:p w:rsidR="007E7699" w:rsidRPr="00294537" w:rsidRDefault="007E7699">
      <w:pPr>
        <w:pStyle w:val="Zkladntext"/>
        <w:spacing w:before="8"/>
        <w:rPr>
          <w:sz w:val="19"/>
          <w:lang w:val="cs-CZ"/>
        </w:rPr>
      </w:pPr>
    </w:p>
    <w:p w:rsidR="007E7699" w:rsidRPr="00294537" w:rsidRDefault="00432DCF">
      <w:pPr>
        <w:pStyle w:val="Zkladntext"/>
        <w:spacing w:line="360" w:lineRule="auto"/>
        <w:ind w:left="120" w:right="114" w:hanging="1"/>
        <w:jc w:val="both"/>
        <w:rPr>
          <w:lang w:val="cs-CZ"/>
        </w:rPr>
      </w:pPr>
      <w:r>
        <w:rPr>
          <w:lang w:val="cs-CZ"/>
        </w:rPr>
        <w:t xml:space="preserve">ITF uvedla, že i) v tomto případě není možné aplikovat Článek 49 TFEU. Nařízení </w:t>
      </w:r>
      <w:r w:rsidR="00A701B3">
        <w:rPr>
          <w:lang w:val="cs-CZ"/>
        </w:rPr>
        <w:t>č. </w:t>
      </w:r>
      <w:r>
        <w:rPr>
          <w:lang w:val="cs-CZ"/>
        </w:rPr>
        <w:t xml:space="preserve">35 </w:t>
      </w:r>
      <w:r w:rsidR="00F55BCF">
        <w:rPr>
          <w:lang w:val="cs-CZ"/>
        </w:rPr>
        <w:t>nastavuje pravidla fungování</w:t>
      </w:r>
      <w:r>
        <w:rPr>
          <w:lang w:val="cs-CZ"/>
        </w:rPr>
        <w:t xml:space="preserve"> </w:t>
      </w:r>
      <w:r w:rsidR="008418F3">
        <w:rPr>
          <w:lang w:val="cs-CZ"/>
        </w:rPr>
        <w:t>ospravedlniteln</w:t>
      </w:r>
      <w:r w:rsidR="00F55BCF">
        <w:rPr>
          <w:lang w:val="cs-CZ"/>
        </w:rPr>
        <w:t xml:space="preserve">á z jiných než </w:t>
      </w:r>
      <w:r w:rsidR="008418F3">
        <w:rPr>
          <w:lang w:val="cs-CZ"/>
        </w:rPr>
        <w:t>ekonomických důvodů</w:t>
      </w:r>
      <w:r w:rsidR="00F55BCF">
        <w:rPr>
          <w:lang w:val="cs-CZ"/>
        </w:rPr>
        <w:t xml:space="preserve"> souvisejících s celkovou </w:t>
      </w:r>
      <w:r w:rsidR="008418F3">
        <w:rPr>
          <w:lang w:val="cs-CZ"/>
        </w:rPr>
        <w:t>povah</w:t>
      </w:r>
      <w:r w:rsidR="00F55BCF">
        <w:rPr>
          <w:lang w:val="cs-CZ"/>
        </w:rPr>
        <w:t>ou a kontextem soutěže</w:t>
      </w:r>
      <w:r w:rsidR="008418F3">
        <w:rPr>
          <w:lang w:val="cs-CZ"/>
        </w:rPr>
        <w:t xml:space="preserve"> Davis Cup; </w:t>
      </w:r>
      <w:proofErr w:type="spellStart"/>
      <w:r w:rsidR="008418F3">
        <w:rPr>
          <w:lang w:val="cs-CZ"/>
        </w:rPr>
        <w:t>ii</w:t>
      </w:r>
      <w:proofErr w:type="spellEnd"/>
      <w:r w:rsidR="008418F3">
        <w:rPr>
          <w:lang w:val="cs-CZ"/>
        </w:rPr>
        <w:t xml:space="preserve">) Nařízení </w:t>
      </w:r>
      <w:r w:rsidR="00F55BCF">
        <w:rPr>
          <w:lang w:val="cs-CZ"/>
        </w:rPr>
        <w:t xml:space="preserve">č. </w:t>
      </w:r>
      <w:r w:rsidR="008418F3">
        <w:rPr>
          <w:lang w:val="cs-CZ"/>
        </w:rPr>
        <w:t xml:space="preserve">35 nepřestavuje omezení ve smyslu Článku 49, jelikož se jedná o pravidlo výběru hráčů pro Davis Cup, </w:t>
      </w:r>
      <w:r w:rsidR="00F55BCF">
        <w:rPr>
          <w:lang w:val="cs-CZ"/>
        </w:rPr>
        <w:t xml:space="preserve">neoddělitelné od </w:t>
      </w:r>
      <w:r w:rsidR="008418F3">
        <w:rPr>
          <w:lang w:val="cs-CZ"/>
        </w:rPr>
        <w:t>pova</w:t>
      </w:r>
      <w:r w:rsidR="00F55BCF">
        <w:rPr>
          <w:lang w:val="cs-CZ"/>
        </w:rPr>
        <w:t>hy</w:t>
      </w:r>
      <w:r w:rsidR="008418F3">
        <w:rPr>
          <w:lang w:val="cs-CZ"/>
        </w:rPr>
        <w:t xml:space="preserve"> turnaje; </w:t>
      </w:r>
      <w:proofErr w:type="spellStart"/>
      <w:r w:rsidR="008418F3">
        <w:rPr>
          <w:lang w:val="cs-CZ"/>
        </w:rPr>
        <w:t>iii</w:t>
      </w:r>
      <w:proofErr w:type="spellEnd"/>
      <w:r w:rsidR="008418F3">
        <w:rPr>
          <w:lang w:val="cs-CZ"/>
        </w:rPr>
        <w:t xml:space="preserve">) Nařízení </w:t>
      </w:r>
      <w:r w:rsidR="00F55BCF">
        <w:rPr>
          <w:lang w:val="cs-CZ"/>
        </w:rPr>
        <w:t xml:space="preserve">č. </w:t>
      </w:r>
      <w:r w:rsidR="008418F3">
        <w:rPr>
          <w:lang w:val="cs-CZ"/>
        </w:rPr>
        <w:t xml:space="preserve">35 je objektivně ospravedlnitelné a zákonné, jelikož je přiměřené vzhledem k legitimnímu cíli; </w:t>
      </w:r>
      <w:proofErr w:type="spellStart"/>
      <w:r w:rsidR="008418F3">
        <w:rPr>
          <w:lang w:val="cs-CZ"/>
        </w:rPr>
        <w:t>iv</w:t>
      </w:r>
      <w:proofErr w:type="spellEnd"/>
      <w:r w:rsidR="008418F3">
        <w:rPr>
          <w:lang w:val="cs-CZ"/>
        </w:rPr>
        <w:t xml:space="preserve">) nedochází zde k porušení procesní spravedlnosti/legitimního očekávání, že bude rozhodnutí neudělit sportovci výjimku prohlášeno za nespravedlivé nebo iracionální; a v) v případech porušení Článku </w:t>
      </w:r>
      <w:r w:rsidR="008418F3" w:rsidRPr="00F55BCF">
        <w:rPr>
          <w:lang w:val="cs-CZ"/>
        </w:rPr>
        <w:t xml:space="preserve">49 </w:t>
      </w:r>
      <w:r w:rsidR="00F55BCF">
        <w:rPr>
          <w:lang w:val="cs-CZ"/>
        </w:rPr>
        <w:t>nelze žádat o náhradu škody</w:t>
      </w:r>
      <w:r w:rsidR="00F55BCF" w:rsidRPr="00294537">
        <w:rPr>
          <w:lang w:val="cs-CZ"/>
        </w:rPr>
        <w:t>.</w:t>
      </w:r>
      <w:r>
        <w:rPr>
          <w:lang w:val="cs-CZ"/>
        </w:rPr>
        <w:t xml:space="preserve"> </w:t>
      </w:r>
    </w:p>
    <w:p w:rsidR="007E7699" w:rsidRPr="00294537" w:rsidRDefault="007E7699">
      <w:pPr>
        <w:pStyle w:val="Zkladntext"/>
        <w:spacing w:before="8"/>
        <w:rPr>
          <w:sz w:val="19"/>
          <w:lang w:val="cs-CZ"/>
        </w:rPr>
      </w:pPr>
    </w:p>
    <w:p w:rsidR="007E7699" w:rsidRPr="00294537" w:rsidRDefault="00DA25DA">
      <w:pPr>
        <w:pStyle w:val="Zkladntext"/>
        <w:spacing w:before="1" w:line="360" w:lineRule="auto"/>
        <w:ind w:left="120" w:right="116"/>
        <w:jc w:val="both"/>
        <w:rPr>
          <w:lang w:val="cs-CZ"/>
        </w:rPr>
      </w:pPr>
      <w:r>
        <w:rPr>
          <w:lang w:val="cs-CZ"/>
        </w:rPr>
        <w:t xml:space="preserve">Soud poznamenal, že sport sice může představovat ekonomickou činnost a že reprezentování Velké Británie v Davis </w:t>
      </w:r>
      <w:proofErr w:type="spellStart"/>
      <w:r>
        <w:rPr>
          <w:lang w:val="cs-CZ"/>
        </w:rPr>
        <w:t>Cupu</w:t>
      </w:r>
      <w:proofErr w:type="spellEnd"/>
      <w:r>
        <w:rPr>
          <w:lang w:val="cs-CZ"/>
        </w:rPr>
        <w:t xml:space="preserve"> může mít velký ekonomický význam, nicméně </w:t>
      </w:r>
      <w:r w:rsidR="00F55BCF">
        <w:rPr>
          <w:lang w:val="cs-CZ"/>
        </w:rPr>
        <w:t>Smlouva o fungování EU</w:t>
      </w:r>
      <w:r w:rsidR="003813B0">
        <w:rPr>
          <w:lang w:val="cs-CZ"/>
        </w:rPr>
        <w:t xml:space="preserve"> se nevztahuje na každé pravidlo upravující sportovní činnost. V tomto případě došel soud k závěru, že Nařízení </w:t>
      </w:r>
      <w:r w:rsidR="00F55BCF">
        <w:rPr>
          <w:lang w:val="cs-CZ"/>
        </w:rPr>
        <w:t xml:space="preserve">č. </w:t>
      </w:r>
      <w:r w:rsidR="003813B0">
        <w:rPr>
          <w:lang w:val="cs-CZ"/>
        </w:rPr>
        <w:t xml:space="preserve">35 spadá pod Článek 49, jelikož se jedná o pravidlo týkající se změny státní příslušnosti. </w:t>
      </w:r>
    </w:p>
    <w:p w:rsidR="007E7699" w:rsidRPr="00294537" w:rsidRDefault="007E7699">
      <w:pPr>
        <w:pStyle w:val="Zkladntext"/>
        <w:spacing w:before="9"/>
        <w:rPr>
          <w:sz w:val="19"/>
          <w:lang w:val="cs-CZ"/>
        </w:rPr>
      </w:pPr>
    </w:p>
    <w:p w:rsidR="003813B0" w:rsidRDefault="003813B0">
      <w:pPr>
        <w:pStyle w:val="Zkladntext"/>
        <w:spacing w:before="1" w:line="360" w:lineRule="auto"/>
        <w:ind w:left="120" w:right="116"/>
        <w:jc w:val="both"/>
        <w:rPr>
          <w:lang w:val="cs-CZ"/>
        </w:rPr>
      </w:pPr>
      <w:r>
        <w:rPr>
          <w:lang w:val="cs-CZ"/>
        </w:rPr>
        <w:t xml:space="preserve">Soud se zabýval otázkou </w:t>
      </w:r>
      <w:r w:rsidR="00F55BCF">
        <w:rPr>
          <w:lang w:val="cs-CZ"/>
        </w:rPr>
        <w:t>využití</w:t>
      </w:r>
      <w:r>
        <w:rPr>
          <w:lang w:val="cs-CZ"/>
        </w:rPr>
        <w:t xml:space="preserve"> Článku 49 a došel k závěru, že to závisí na rozsahu „sportovní výjimky“ </w:t>
      </w:r>
      <w:r w:rsidR="00F55BCF">
        <w:rPr>
          <w:lang w:val="cs-CZ"/>
        </w:rPr>
        <w:t>upravené</w:t>
      </w:r>
      <w:r>
        <w:rPr>
          <w:lang w:val="cs-CZ"/>
        </w:rPr>
        <w:t xml:space="preserve"> v </w:t>
      </w:r>
      <w:proofErr w:type="spellStart"/>
      <w:r w:rsidRPr="00DB200F">
        <w:rPr>
          <w:i/>
          <w:lang w:val="cs-CZ"/>
        </w:rPr>
        <w:t>Donà</w:t>
      </w:r>
      <w:proofErr w:type="spellEnd"/>
      <w:r w:rsidRPr="00DB200F">
        <w:rPr>
          <w:i/>
          <w:lang w:val="cs-CZ"/>
        </w:rPr>
        <w:t xml:space="preserve"> </w:t>
      </w:r>
      <w:r w:rsidRPr="00DB200F">
        <w:rPr>
          <w:lang w:val="cs-CZ"/>
        </w:rPr>
        <w:t>[1976] ECR 1933</w:t>
      </w:r>
      <w:r>
        <w:rPr>
          <w:lang w:val="cs-CZ"/>
        </w:rPr>
        <w:t xml:space="preserve">. Rovněž posoudil, zda povaha a kontext Davis </w:t>
      </w:r>
      <w:proofErr w:type="spellStart"/>
      <w:r>
        <w:rPr>
          <w:lang w:val="cs-CZ"/>
        </w:rPr>
        <w:t>Cupu</w:t>
      </w:r>
      <w:proofErr w:type="spellEnd"/>
      <w:r>
        <w:rPr>
          <w:lang w:val="cs-CZ"/>
        </w:rPr>
        <w:t xml:space="preserve"> a Nařízení </w:t>
      </w:r>
      <w:r w:rsidR="00F55BCF">
        <w:rPr>
          <w:lang w:val="cs-CZ"/>
        </w:rPr>
        <w:t xml:space="preserve">č. </w:t>
      </w:r>
      <w:r>
        <w:rPr>
          <w:lang w:val="cs-CZ"/>
        </w:rPr>
        <w:t xml:space="preserve">35 splňují podmínky dané výjimky. Soud poté přezkoumal Nařízení </w:t>
      </w:r>
      <w:r w:rsidR="00F55BCF">
        <w:rPr>
          <w:lang w:val="cs-CZ"/>
        </w:rPr>
        <w:t xml:space="preserve">č. </w:t>
      </w:r>
      <w:r>
        <w:rPr>
          <w:lang w:val="cs-CZ"/>
        </w:rPr>
        <w:t xml:space="preserve">35 a zabýval se otázkou, zda je pravidlo přiměřené odpovídajícímu cíli, zda </w:t>
      </w:r>
      <w:r w:rsidR="00F55BCF">
        <w:rPr>
          <w:lang w:val="cs-CZ"/>
        </w:rPr>
        <w:t>není</w:t>
      </w:r>
      <w:r>
        <w:rPr>
          <w:lang w:val="cs-CZ"/>
        </w:rPr>
        <w:t xml:space="preserve"> pravidlo nezákonné samo o sobě a zda bylo rozhodnutí odmítnout udělení výjimky nezákonné. Soud rozhodl, že Nařízení </w:t>
      </w:r>
      <w:r w:rsidR="00F55BCF">
        <w:rPr>
          <w:lang w:val="cs-CZ"/>
        </w:rPr>
        <w:t>č. </w:t>
      </w:r>
      <w:r>
        <w:rPr>
          <w:lang w:val="cs-CZ"/>
        </w:rPr>
        <w:t>35 svým účinkem sice omezuje svobodný pohyb osob, ale není nezákonné, jelikož se nejedná o absolutní zákaz, a uvedl, že mohou existovat případy, kdy by měla být sportovci udělena výjimka podle Nařízení</w:t>
      </w:r>
      <w:r w:rsidR="00F55BCF">
        <w:rPr>
          <w:lang w:val="cs-CZ"/>
        </w:rPr>
        <w:t xml:space="preserve"> č.</w:t>
      </w:r>
      <w:r>
        <w:rPr>
          <w:lang w:val="cs-CZ"/>
        </w:rPr>
        <w:t xml:space="preserve"> 35(d).</w:t>
      </w:r>
    </w:p>
    <w:p w:rsidR="007E7699" w:rsidRPr="00294537" w:rsidRDefault="007E7699">
      <w:pPr>
        <w:pStyle w:val="Zkladntext"/>
        <w:spacing w:before="81" w:line="360" w:lineRule="auto"/>
        <w:ind w:left="119" w:right="121"/>
        <w:jc w:val="both"/>
        <w:rPr>
          <w:lang w:val="cs-CZ"/>
        </w:rPr>
      </w:pPr>
    </w:p>
    <w:p w:rsidR="007E7699" w:rsidRPr="00294537" w:rsidRDefault="007E7699">
      <w:pPr>
        <w:pStyle w:val="Zkladntext"/>
        <w:spacing w:before="8"/>
        <w:rPr>
          <w:sz w:val="19"/>
          <w:lang w:val="cs-CZ"/>
        </w:rPr>
      </w:pPr>
    </w:p>
    <w:p w:rsidR="007E7699" w:rsidRPr="00294537" w:rsidRDefault="003813B0">
      <w:pPr>
        <w:pStyle w:val="Zkladntext"/>
        <w:spacing w:line="362" w:lineRule="auto"/>
        <w:ind w:left="120" w:right="116"/>
        <w:jc w:val="both"/>
        <w:rPr>
          <w:lang w:val="cs-CZ"/>
        </w:rPr>
      </w:pPr>
      <w:r>
        <w:rPr>
          <w:lang w:val="cs-CZ"/>
        </w:rPr>
        <w:t xml:space="preserve">Soud tedy z výše uvedených důvodů odvolání zamítnul. Sportovci byla nicméně ponechána možnost podat v patřičný okamžik další žádost o výjimku </w:t>
      </w:r>
    </w:p>
    <w:p w:rsidR="007E7699" w:rsidRPr="00294537" w:rsidRDefault="007E7699">
      <w:pPr>
        <w:pStyle w:val="Zkladntext"/>
        <w:rPr>
          <w:sz w:val="26"/>
          <w:lang w:val="cs-CZ"/>
        </w:rPr>
      </w:pPr>
    </w:p>
    <w:p w:rsidR="007E7699" w:rsidRPr="00294537" w:rsidRDefault="007E7699">
      <w:pPr>
        <w:pStyle w:val="Zkladntext"/>
        <w:rPr>
          <w:sz w:val="26"/>
          <w:lang w:val="cs-CZ"/>
        </w:rPr>
      </w:pPr>
    </w:p>
    <w:p w:rsidR="007E7699" w:rsidRPr="00294537" w:rsidRDefault="007E7699">
      <w:pPr>
        <w:pStyle w:val="Zkladntext"/>
        <w:spacing w:before="2"/>
        <w:rPr>
          <w:sz w:val="20"/>
          <w:lang w:val="cs-CZ"/>
        </w:rPr>
      </w:pPr>
    </w:p>
    <w:p w:rsidR="007E7699" w:rsidRPr="00294537" w:rsidRDefault="003813B0">
      <w:pPr>
        <w:pStyle w:val="Nadpis1"/>
        <w:rPr>
          <w:lang w:val="cs-CZ"/>
        </w:rPr>
      </w:pPr>
      <w:r>
        <w:rPr>
          <w:lang w:val="cs-CZ"/>
        </w:rPr>
        <w:t xml:space="preserve">Poučení </w:t>
      </w:r>
    </w:p>
    <w:p w:rsidR="007E7699" w:rsidRPr="00294537" w:rsidRDefault="007E7699">
      <w:pPr>
        <w:pStyle w:val="Zkladntext"/>
        <w:spacing w:before="9"/>
        <w:rPr>
          <w:b/>
          <w:sz w:val="30"/>
          <w:lang w:val="cs-CZ"/>
        </w:rPr>
      </w:pPr>
    </w:p>
    <w:p w:rsidR="007E7699" w:rsidRPr="00294537" w:rsidRDefault="000C0164">
      <w:pPr>
        <w:pStyle w:val="Odstavecseseznamem"/>
        <w:numPr>
          <w:ilvl w:val="0"/>
          <w:numId w:val="1"/>
        </w:numPr>
        <w:tabs>
          <w:tab w:val="left" w:pos="841"/>
        </w:tabs>
        <w:spacing w:line="357" w:lineRule="auto"/>
        <w:ind w:right="117" w:hanging="360"/>
        <w:rPr>
          <w:lang w:val="cs-CZ"/>
        </w:rPr>
      </w:pPr>
      <w:r>
        <w:rPr>
          <w:lang w:val="cs-CZ"/>
        </w:rPr>
        <w:t>Při vydávání pravidel zaměřených na regulaci profesionálního sportu spadají s</w:t>
      </w:r>
      <w:r w:rsidR="005A7BD7">
        <w:rPr>
          <w:lang w:val="cs-CZ"/>
        </w:rPr>
        <w:t>právní orgány pod působnost Článku 49 TFEU</w:t>
      </w:r>
      <w:r>
        <w:rPr>
          <w:lang w:val="cs-CZ"/>
        </w:rPr>
        <w:t>, pokud na dané pravidlo neplatí princip „sportovní výjimky“ (např. pravidla vylučující zahraniční hráče z neekonomických důvodů zaměřená výhradně na ochranu sportovních zájmů)</w:t>
      </w:r>
    </w:p>
    <w:p w:rsidR="007E7699" w:rsidRPr="00294537" w:rsidRDefault="007E7699">
      <w:pPr>
        <w:pStyle w:val="Zkladntext"/>
        <w:spacing w:before="6"/>
        <w:rPr>
          <w:sz w:val="33"/>
          <w:lang w:val="cs-CZ"/>
        </w:rPr>
      </w:pPr>
    </w:p>
    <w:p w:rsidR="007E7699" w:rsidRPr="00294537" w:rsidRDefault="000C0164">
      <w:pPr>
        <w:pStyle w:val="Odstavecseseznamem"/>
        <w:numPr>
          <w:ilvl w:val="0"/>
          <w:numId w:val="1"/>
        </w:numPr>
        <w:tabs>
          <w:tab w:val="left" w:pos="841"/>
        </w:tabs>
        <w:spacing w:line="360" w:lineRule="auto"/>
        <w:ind w:hanging="360"/>
        <w:rPr>
          <w:lang w:val="cs-CZ"/>
        </w:rPr>
      </w:pPr>
      <w:r>
        <w:rPr>
          <w:lang w:val="cs-CZ"/>
        </w:rPr>
        <w:t>Pokud platí Článek 49 TFEU, vyvstává zde sekundární otázka o zákonnosti daného omezení. Toto se určuje porovnáním přiměřenosti omezení vůči legitimnímu cíli, jehož má být dosaženo a jenž musí být objektivně ospravedlnitelný.</w:t>
      </w:r>
      <w:r w:rsidR="0002739F">
        <w:rPr>
          <w:lang w:val="cs-CZ"/>
        </w:rPr>
        <w:t xml:space="preserve"> Pokud existují ustanovení umožňující </w:t>
      </w:r>
      <w:r w:rsidR="00630217">
        <w:rPr>
          <w:lang w:val="cs-CZ"/>
        </w:rPr>
        <w:t xml:space="preserve">udělit sportovcům výjimky z aplikace pravidla </w:t>
      </w:r>
      <w:r w:rsidR="0002739F">
        <w:rPr>
          <w:lang w:val="cs-CZ"/>
        </w:rPr>
        <w:t xml:space="preserve">v jednotlivých případech, kdy si tak spravedlnost vyžaduje, bude to velmi pravděpodobně rozhodující faktor při rozhodování o přiměřenosti pravidla.  </w:t>
      </w:r>
    </w:p>
    <w:sectPr w:rsidR="007E7699" w:rsidRPr="00294537">
      <w:pgSz w:w="11910" w:h="16840"/>
      <w:pgMar w:top="134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B6EBF"/>
    <w:multiLevelType w:val="hybridMultilevel"/>
    <w:tmpl w:val="B044B174"/>
    <w:lvl w:ilvl="0" w:tplc="3C4CAD1E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068BD72">
      <w:numFmt w:val="bullet"/>
      <w:lvlText w:val="•"/>
      <w:lvlJc w:val="left"/>
      <w:pPr>
        <w:ind w:left="1682" w:hanging="361"/>
      </w:pPr>
      <w:rPr>
        <w:rFonts w:hint="default"/>
        <w:lang w:val="en-GB" w:eastAsia="en-GB" w:bidi="en-GB"/>
      </w:rPr>
    </w:lvl>
    <w:lvl w:ilvl="2" w:tplc="346A1ED0">
      <w:numFmt w:val="bullet"/>
      <w:lvlText w:val="•"/>
      <w:lvlJc w:val="left"/>
      <w:pPr>
        <w:ind w:left="2525" w:hanging="361"/>
      </w:pPr>
      <w:rPr>
        <w:rFonts w:hint="default"/>
        <w:lang w:val="en-GB" w:eastAsia="en-GB" w:bidi="en-GB"/>
      </w:rPr>
    </w:lvl>
    <w:lvl w:ilvl="3" w:tplc="986CCE52">
      <w:numFmt w:val="bullet"/>
      <w:lvlText w:val="•"/>
      <w:lvlJc w:val="left"/>
      <w:pPr>
        <w:ind w:left="3367" w:hanging="361"/>
      </w:pPr>
      <w:rPr>
        <w:rFonts w:hint="default"/>
        <w:lang w:val="en-GB" w:eastAsia="en-GB" w:bidi="en-GB"/>
      </w:rPr>
    </w:lvl>
    <w:lvl w:ilvl="4" w:tplc="DDD8558A">
      <w:numFmt w:val="bullet"/>
      <w:lvlText w:val="•"/>
      <w:lvlJc w:val="left"/>
      <w:pPr>
        <w:ind w:left="4210" w:hanging="361"/>
      </w:pPr>
      <w:rPr>
        <w:rFonts w:hint="default"/>
        <w:lang w:val="en-GB" w:eastAsia="en-GB" w:bidi="en-GB"/>
      </w:rPr>
    </w:lvl>
    <w:lvl w:ilvl="5" w:tplc="0032E654">
      <w:numFmt w:val="bullet"/>
      <w:lvlText w:val="•"/>
      <w:lvlJc w:val="left"/>
      <w:pPr>
        <w:ind w:left="5053" w:hanging="361"/>
      </w:pPr>
      <w:rPr>
        <w:rFonts w:hint="default"/>
        <w:lang w:val="en-GB" w:eastAsia="en-GB" w:bidi="en-GB"/>
      </w:rPr>
    </w:lvl>
    <w:lvl w:ilvl="6" w:tplc="D930ACBC">
      <w:numFmt w:val="bullet"/>
      <w:lvlText w:val="•"/>
      <w:lvlJc w:val="left"/>
      <w:pPr>
        <w:ind w:left="5895" w:hanging="361"/>
      </w:pPr>
      <w:rPr>
        <w:rFonts w:hint="default"/>
        <w:lang w:val="en-GB" w:eastAsia="en-GB" w:bidi="en-GB"/>
      </w:rPr>
    </w:lvl>
    <w:lvl w:ilvl="7" w:tplc="418AD6B4">
      <w:numFmt w:val="bullet"/>
      <w:lvlText w:val="•"/>
      <w:lvlJc w:val="left"/>
      <w:pPr>
        <w:ind w:left="6738" w:hanging="361"/>
      </w:pPr>
      <w:rPr>
        <w:rFonts w:hint="default"/>
        <w:lang w:val="en-GB" w:eastAsia="en-GB" w:bidi="en-GB"/>
      </w:rPr>
    </w:lvl>
    <w:lvl w:ilvl="8" w:tplc="3EC8C980">
      <w:numFmt w:val="bullet"/>
      <w:lvlText w:val="•"/>
      <w:lvlJc w:val="left"/>
      <w:pPr>
        <w:ind w:left="7581" w:hanging="36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99"/>
    <w:rsid w:val="0002739F"/>
    <w:rsid w:val="000C0164"/>
    <w:rsid w:val="001C1845"/>
    <w:rsid w:val="00294537"/>
    <w:rsid w:val="002C5BAC"/>
    <w:rsid w:val="003362D0"/>
    <w:rsid w:val="003813B0"/>
    <w:rsid w:val="00432DCF"/>
    <w:rsid w:val="004746B8"/>
    <w:rsid w:val="005A7BD7"/>
    <w:rsid w:val="00630217"/>
    <w:rsid w:val="007A6886"/>
    <w:rsid w:val="007E7699"/>
    <w:rsid w:val="00812B5E"/>
    <w:rsid w:val="008217E0"/>
    <w:rsid w:val="008418F3"/>
    <w:rsid w:val="009930A1"/>
    <w:rsid w:val="00A701B3"/>
    <w:rsid w:val="00AA2885"/>
    <w:rsid w:val="00DA25DA"/>
    <w:rsid w:val="00F5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746AD-FE30-4796-8369-835F84CD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Nadpis1">
    <w:name w:val="heading 1"/>
    <w:basedOn w:val="Normln"/>
    <w:uiPriority w:val="9"/>
    <w:qFormat/>
    <w:pPr>
      <w:ind w:left="12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40" w:right="116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8217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7E0"/>
    <w:rPr>
      <w:rFonts w:ascii="Segoe UI" w:eastAsia="Verdana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709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Weich</dc:creator>
  <cp:lastModifiedBy>Irena Vicarova</cp:lastModifiedBy>
  <cp:revision>9</cp:revision>
  <dcterms:created xsi:type="dcterms:W3CDTF">2018-12-28T10:38:00Z</dcterms:created>
  <dcterms:modified xsi:type="dcterms:W3CDTF">2019-01-20T13:06:00Z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2018-10-11T00:00:00Z</vt:filetime>
  </property>
</Properties>
</file>