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F6D" w:rsidRDefault="003D5F25" w:rsidP="00323F6D">
      <w:pPr>
        <w:pStyle w:val="Zkladntext"/>
        <w:spacing w:before="32" w:line="254" w:lineRule="auto"/>
        <w:ind w:right="601"/>
        <w:jc w:val="right"/>
        <w:rPr>
          <w:rFonts w:ascii="Arial"/>
          <w:w w:val="95"/>
          <w:lang w:val="cs-CZ"/>
        </w:rPr>
      </w:pPr>
      <w:r>
        <w:rPr>
          <w:rFonts w:ascii="Arial"/>
          <w:w w:val="95"/>
          <w:lang w:val="cs-CZ"/>
        </w:rPr>
        <w:t>Rozhodnut</w:t>
      </w:r>
      <w:r>
        <w:rPr>
          <w:rFonts w:ascii="Arial"/>
          <w:w w:val="95"/>
          <w:lang w:val="cs-CZ"/>
        </w:rPr>
        <w:t>í</w:t>
      </w:r>
      <w:r>
        <w:rPr>
          <w:rFonts w:ascii="Arial"/>
          <w:w w:val="95"/>
          <w:lang w:val="cs-CZ"/>
        </w:rPr>
        <w:t xml:space="preserve"> ve v</w:t>
      </w:r>
      <w:r>
        <w:rPr>
          <w:rFonts w:ascii="Arial"/>
          <w:w w:val="95"/>
          <w:lang w:val="cs-CZ"/>
        </w:rPr>
        <w:t>ě</w:t>
      </w:r>
      <w:r>
        <w:rPr>
          <w:rFonts w:ascii="Arial"/>
          <w:w w:val="95"/>
          <w:lang w:val="cs-CZ"/>
        </w:rPr>
        <w:t>ci odvol</w:t>
      </w:r>
      <w:r>
        <w:rPr>
          <w:rFonts w:ascii="Arial"/>
          <w:w w:val="95"/>
          <w:lang w:val="cs-CZ"/>
        </w:rPr>
        <w:t>á</w:t>
      </w:r>
      <w:r>
        <w:rPr>
          <w:rFonts w:ascii="Arial"/>
          <w:w w:val="95"/>
          <w:lang w:val="cs-CZ"/>
        </w:rPr>
        <w:t>n</w:t>
      </w:r>
      <w:r>
        <w:rPr>
          <w:rFonts w:ascii="Arial"/>
          <w:w w:val="95"/>
          <w:lang w:val="cs-CZ"/>
        </w:rPr>
        <w:t>í</w:t>
      </w:r>
      <w:r>
        <w:rPr>
          <w:rFonts w:ascii="Arial"/>
          <w:w w:val="95"/>
          <w:lang w:val="cs-CZ"/>
        </w:rPr>
        <w:t xml:space="preserve"> (b</w:t>
      </w:r>
      <w:r>
        <w:rPr>
          <w:rFonts w:ascii="Arial"/>
          <w:w w:val="95"/>
          <w:lang w:val="cs-CZ"/>
        </w:rPr>
        <w:t>ř</w:t>
      </w:r>
      <w:r>
        <w:rPr>
          <w:rFonts w:ascii="Arial"/>
          <w:w w:val="95"/>
          <w:lang w:val="cs-CZ"/>
        </w:rPr>
        <w:t xml:space="preserve">ezen </w:t>
      </w:r>
      <w:r w:rsidR="00E45EC4" w:rsidRPr="00A53B7E">
        <w:rPr>
          <w:rFonts w:ascii="Arial"/>
          <w:w w:val="95"/>
          <w:lang w:val="cs-CZ"/>
        </w:rPr>
        <w:t xml:space="preserve">2012) </w:t>
      </w:r>
    </w:p>
    <w:p w:rsidR="00B66EB3" w:rsidRPr="00A53B7E" w:rsidRDefault="003D5F25" w:rsidP="00323F6D">
      <w:pPr>
        <w:pStyle w:val="Zkladntext"/>
        <w:spacing w:before="32" w:line="254" w:lineRule="auto"/>
        <w:ind w:right="601"/>
        <w:jc w:val="right"/>
        <w:rPr>
          <w:rFonts w:ascii="Arial"/>
          <w:lang w:val="cs-CZ"/>
        </w:rPr>
      </w:pPr>
      <w:r>
        <w:rPr>
          <w:rFonts w:ascii="Arial"/>
          <w:w w:val="95"/>
          <w:lang w:val="cs-CZ"/>
        </w:rPr>
        <w:t>Skupina VB</w:t>
      </w:r>
      <w:r w:rsidR="00323F6D">
        <w:rPr>
          <w:rFonts w:ascii="Arial"/>
          <w:w w:val="95"/>
          <w:lang w:val="cs-CZ"/>
        </w:rPr>
        <w:t xml:space="preserve"> </w:t>
      </w:r>
      <w:r w:rsidR="00E45EC4" w:rsidRPr="00A53B7E">
        <w:rPr>
          <w:rFonts w:ascii="Arial"/>
          <w:w w:val="95"/>
          <w:lang w:val="cs-CZ"/>
        </w:rPr>
        <w:t>v</w:t>
      </w:r>
      <w:r w:rsidR="00323F6D">
        <w:rPr>
          <w:rFonts w:ascii="Arial"/>
          <w:w w:val="95"/>
          <w:lang w:val="cs-CZ"/>
        </w:rPr>
        <w:t xml:space="preserve"> </w:t>
      </w:r>
      <w:r>
        <w:rPr>
          <w:rFonts w:ascii="Arial"/>
          <w:w w:val="95"/>
          <w:lang w:val="cs-CZ"/>
        </w:rPr>
        <w:t>Britsk</w:t>
      </w:r>
      <w:r>
        <w:rPr>
          <w:rFonts w:ascii="Arial"/>
          <w:w w:val="95"/>
          <w:lang w:val="cs-CZ"/>
        </w:rPr>
        <w:t>á</w:t>
      </w:r>
      <w:r>
        <w:rPr>
          <w:rFonts w:ascii="Arial"/>
          <w:w w:val="95"/>
          <w:lang w:val="cs-CZ"/>
        </w:rPr>
        <w:t xml:space="preserve"> asociace amat</w:t>
      </w:r>
      <w:r>
        <w:rPr>
          <w:rFonts w:ascii="Arial"/>
          <w:w w:val="95"/>
          <w:lang w:val="cs-CZ"/>
        </w:rPr>
        <w:t>é</w:t>
      </w:r>
      <w:r>
        <w:rPr>
          <w:rFonts w:ascii="Arial"/>
          <w:w w:val="95"/>
          <w:lang w:val="cs-CZ"/>
        </w:rPr>
        <w:t>rsk</w:t>
      </w:r>
      <w:r>
        <w:rPr>
          <w:rFonts w:ascii="Arial"/>
          <w:w w:val="95"/>
          <w:lang w:val="cs-CZ"/>
        </w:rPr>
        <w:t>é</w:t>
      </w:r>
      <w:r>
        <w:rPr>
          <w:rFonts w:ascii="Arial"/>
          <w:w w:val="95"/>
          <w:lang w:val="cs-CZ"/>
        </w:rPr>
        <w:t xml:space="preserve"> gymnastiky</w:t>
      </w:r>
    </w:p>
    <w:p w:rsidR="00B66EB3" w:rsidRPr="00A53B7E" w:rsidRDefault="00B66EB3">
      <w:pPr>
        <w:pStyle w:val="Zkladntext"/>
        <w:rPr>
          <w:rFonts w:ascii="Arial"/>
          <w:sz w:val="20"/>
          <w:lang w:val="cs-CZ"/>
        </w:rPr>
      </w:pPr>
    </w:p>
    <w:p w:rsidR="00B66EB3" w:rsidRPr="00A53B7E" w:rsidRDefault="00B66EB3">
      <w:pPr>
        <w:pStyle w:val="Zkladntext"/>
        <w:rPr>
          <w:rFonts w:ascii="Arial"/>
          <w:sz w:val="20"/>
          <w:lang w:val="cs-CZ"/>
        </w:rPr>
      </w:pPr>
    </w:p>
    <w:p w:rsidR="00B66EB3" w:rsidRPr="00A53B7E" w:rsidRDefault="00B66EB3">
      <w:pPr>
        <w:pStyle w:val="Zkladntext"/>
        <w:rPr>
          <w:rFonts w:ascii="Arial"/>
          <w:sz w:val="26"/>
          <w:lang w:val="cs-CZ"/>
        </w:rPr>
      </w:pPr>
    </w:p>
    <w:p w:rsidR="00B66EB3" w:rsidRPr="00A53B7E" w:rsidRDefault="00A53B7E" w:rsidP="00323F6D">
      <w:pPr>
        <w:spacing w:before="101" w:line="276" w:lineRule="auto"/>
        <w:ind w:left="993" w:right="409"/>
        <w:rPr>
          <w:b/>
          <w:sz w:val="28"/>
          <w:lang w:val="cs-CZ"/>
        </w:rPr>
      </w:pPr>
      <w:r>
        <w:rPr>
          <w:b/>
          <w:sz w:val="28"/>
          <w:lang w:val="cs-CZ"/>
        </w:rPr>
        <w:t xml:space="preserve">Případ č. 27 – Odvolání ve věci kvalifikace na </w:t>
      </w:r>
      <w:r w:rsidR="00323F6D">
        <w:rPr>
          <w:b/>
          <w:sz w:val="28"/>
          <w:lang w:val="cs-CZ"/>
        </w:rPr>
        <w:tab/>
      </w:r>
      <w:r w:rsidR="00323F6D">
        <w:rPr>
          <w:b/>
          <w:sz w:val="28"/>
          <w:lang w:val="cs-CZ"/>
        </w:rPr>
        <w:tab/>
      </w:r>
      <w:r w:rsidR="00323F6D">
        <w:rPr>
          <w:b/>
          <w:sz w:val="28"/>
          <w:lang w:val="cs-CZ"/>
        </w:rPr>
        <w:tab/>
      </w:r>
      <w:r w:rsidR="00323F6D">
        <w:rPr>
          <w:b/>
          <w:sz w:val="28"/>
          <w:lang w:val="cs-CZ"/>
        </w:rPr>
        <w:tab/>
      </w:r>
      <w:r w:rsidR="00323F6D">
        <w:rPr>
          <w:b/>
          <w:sz w:val="28"/>
          <w:lang w:val="cs-CZ"/>
        </w:rPr>
        <w:tab/>
      </w:r>
      <w:r>
        <w:rPr>
          <w:b/>
          <w:sz w:val="28"/>
          <w:lang w:val="cs-CZ"/>
        </w:rPr>
        <w:t>Olympijské hry</w:t>
      </w:r>
      <w:r w:rsidR="00323F6D">
        <w:rPr>
          <w:b/>
          <w:sz w:val="28"/>
          <w:lang w:val="cs-CZ"/>
        </w:rPr>
        <w:t xml:space="preserve"> v</w:t>
      </w:r>
      <w:r>
        <w:rPr>
          <w:b/>
          <w:sz w:val="28"/>
          <w:lang w:val="cs-CZ"/>
        </w:rPr>
        <w:t xml:space="preserve"> Londýn</w:t>
      </w:r>
      <w:r w:rsidR="00323F6D">
        <w:rPr>
          <w:b/>
          <w:sz w:val="28"/>
          <w:lang w:val="cs-CZ"/>
        </w:rPr>
        <w:t>ě</w:t>
      </w:r>
      <w:r>
        <w:rPr>
          <w:b/>
          <w:sz w:val="28"/>
          <w:lang w:val="cs-CZ"/>
        </w:rPr>
        <w:t xml:space="preserve"> 2012 </w:t>
      </w:r>
    </w:p>
    <w:p w:rsidR="00B66EB3" w:rsidRPr="00A53B7E" w:rsidRDefault="00B66EB3">
      <w:pPr>
        <w:pStyle w:val="Zkladntext"/>
        <w:rPr>
          <w:b/>
          <w:sz w:val="20"/>
          <w:lang w:val="cs-CZ"/>
        </w:rPr>
      </w:pPr>
    </w:p>
    <w:p w:rsidR="00B66EB3" w:rsidRPr="00A53B7E" w:rsidRDefault="00B66EB3">
      <w:pPr>
        <w:pStyle w:val="Zkladntext"/>
        <w:rPr>
          <w:b/>
          <w:sz w:val="20"/>
          <w:lang w:val="cs-CZ"/>
        </w:rPr>
      </w:pPr>
    </w:p>
    <w:p w:rsidR="00B66EB3" w:rsidRPr="00A53B7E" w:rsidRDefault="00B66EB3">
      <w:pPr>
        <w:pStyle w:val="Zkladntext"/>
        <w:spacing w:before="4"/>
        <w:rPr>
          <w:b/>
          <w:lang w:val="cs-CZ"/>
        </w:rPr>
      </w:pPr>
    </w:p>
    <w:p w:rsidR="00B66EB3" w:rsidRPr="00A53B7E" w:rsidRDefault="00B3599B">
      <w:pPr>
        <w:pStyle w:val="Nadpis1"/>
        <w:rPr>
          <w:lang w:val="cs-CZ"/>
        </w:rPr>
      </w:pPr>
      <w:r>
        <w:rPr>
          <w:lang w:val="cs-CZ"/>
        </w:rPr>
        <w:t xml:space="preserve">Klíčová slova </w:t>
      </w:r>
    </w:p>
    <w:p w:rsidR="00B66EB3" w:rsidRPr="00A53B7E" w:rsidRDefault="00B66EB3">
      <w:pPr>
        <w:pStyle w:val="Zkladntext"/>
        <w:spacing w:before="9"/>
        <w:rPr>
          <w:b/>
          <w:sz w:val="30"/>
          <w:lang w:val="cs-CZ"/>
        </w:rPr>
      </w:pPr>
    </w:p>
    <w:p w:rsidR="00B3599B" w:rsidRDefault="00B3599B">
      <w:pPr>
        <w:spacing w:line="360" w:lineRule="auto"/>
        <w:ind w:left="539" w:right="617"/>
        <w:jc w:val="both"/>
        <w:rPr>
          <w:i/>
          <w:lang w:val="cs-CZ"/>
        </w:rPr>
      </w:pPr>
      <w:r>
        <w:rPr>
          <w:i/>
          <w:lang w:val="cs-CZ"/>
        </w:rPr>
        <w:t>Výběr; Výběrová politika; Kvalifikace;</w:t>
      </w:r>
      <w:r w:rsidR="003D5F25">
        <w:rPr>
          <w:i/>
          <w:lang w:val="cs-CZ"/>
        </w:rPr>
        <w:t xml:space="preserve"> Výběrová smlouva;</w:t>
      </w:r>
      <w:r>
        <w:rPr>
          <w:i/>
          <w:lang w:val="cs-CZ"/>
        </w:rPr>
        <w:t xml:space="preserve"> Olympijské hry; Gymnastika; Olympijská testovací </w:t>
      </w:r>
      <w:r w:rsidR="003D5F25">
        <w:rPr>
          <w:i/>
          <w:lang w:val="cs-CZ"/>
        </w:rPr>
        <w:t>soutěž</w:t>
      </w:r>
      <w:r>
        <w:rPr>
          <w:i/>
          <w:lang w:val="cs-CZ"/>
        </w:rPr>
        <w:t xml:space="preserve">; Kvalifikační soutěž; Srovnávací skóre; </w:t>
      </w:r>
      <w:r w:rsidRPr="00323F6D">
        <w:rPr>
          <w:i/>
          <w:color w:val="00B0F0"/>
          <w:lang w:val="cs-CZ"/>
        </w:rPr>
        <w:t xml:space="preserve">Spravedlivý výběr sportovců  </w:t>
      </w:r>
    </w:p>
    <w:p w:rsidR="00B66EB3" w:rsidRPr="00A53B7E" w:rsidRDefault="00B66EB3">
      <w:pPr>
        <w:pStyle w:val="Zkladntext"/>
        <w:rPr>
          <w:i/>
          <w:sz w:val="26"/>
          <w:lang w:val="cs-CZ"/>
        </w:rPr>
      </w:pPr>
    </w:p>
    <w:p w:rsidR="00B66EB3" w:rsidRPr="00A53B7E" w:rsidRDefault="00B66EB3">
      <w:pPr>
        <w:pStyle w:val="Zkladntext"/>
        <w:spacing w:before="4"/>
        <w:rPr>
          <w:i/>
          <w:sz w:val="36"/>
          <w:lang w:val="cs-CZ"/>
        </w:rPr>
      </w:pPr>
    </w:p>
    <w:p w:rsidR="00B66EB3" w:rsidRPr="00A53B7E" w:rsidRDefault="00B3599B">
      <w:pPr>
        <w:pStyle w:val="Nadpis1"/>
        <w:rPr>
          <w:lang w:val="cs-CZ"/>
        </w:rPr>
      </w:pPr>
      <w:r>
        <w:rPr>
          <w:lang w:val="cs-CZ"/>
        </w:rPr>
        <w:t xml:space="preserve">Shrnutí </w:t>
      </w:r>
    </w:p>
    <w:p w:rsidR="00B66EB3" w:rsidRPr="00A53B7E" w:rsidRDefault="00B66EB3">
      <w:pPr>
        <w:pStyle w:val="Zkladntext"/>
        <w:spacing w:before="9"/>
        <w:rPr>
          <w:b/>
          <w:sz w:val="30"/>
          <w:lang w:val="cs-CZ"/>
        </w:rPr>
      </w:pPr>
    </w:p>
    <w:p w:rsidR="00B66EB3" w:rsidRPr="00A53B7E" w:rsidRDefault="008B5959" w:rsidP="00323F6D">
      <w:pPr>
        <w:pStyle w:val="Zkladntext"/>
        <w:spacing w:line="360" w:lineRule="auto"/>
        <w:ind w:left="539" w:right="617"/>
        <w:jc w:val="both"/>
        <w:rPr>
          <w:sz w:val="26"/>
          <w:lang w:val="cs-CZ"/>
        </w:rPr>
      </w:pPr>
      <w:r>
        <w:rPr>
          <w:lang w:val="cs-CZ"/>
        </w:rPr>
        <w:t xml:space="preserve">Skupina moderní gymnastiky Velké Británie („Skupina VB“) se odvolala proti rozhodnutí </w:t>
      </w:r>
      <w:r w:rsidR="00822C61">
        <w:rPr>
          <w:lang w:val="cs-CZ"/>
        </w:rPr>
        <w:t xml:space="preserve">Britské asociace amatérské gymnastiky (“BAGA“) nevybrat Skupinu VB do soutěže na Olympijských hrách v Londýně 2012 z důvodu nedosažení dohodnutého požadovaného kvalifikačního výsledku během třídenní olympijské kvalifikační soutěže. Sport </w:t>
      </w:r>
      <w:proofErr w:type="spellStart"/>
      <w:r w:rsidR="00822C61">
        <w:rPr>
          <w:lang w:val="cs-CZ"/>
        </w:rPr>
        <w:t>Resolutions</w:t>
      </w:r>
      <w:proofErr w:type="spellEnd"/>
      <w:r w:rsidR="00822C61">
        <w:rPr>
          <w:lang w:val="cs-CZ"/>
        </w:rPr>
        <w:t xml:space="preserve"> jmenovala jediného arbitra v souladu s arbitrážní dohodou uzavřenou oběma stranami. Skupina </w:t>
      </w:r>
      <w:r w:rsidR="003D5F25">
        <w:rPr>
          <w:lang w:val="cs-CZ"/>
        </w:rPr>
        <w:t>VB</w:t>
      </w:r>
      <w:r w:rsidR="00822C61">
        <w:rPr>
          <w:lang w:val="cs-CZ"/>
        </w:rPr>
        <w:t xml:space="preserve"> tvrdila, že by se měly brát v úvahu výsledky ze všech tří soutěžních dnů, a ne pouze z prvních dvou dnů. Arbitr rozhodl, že BAGA nesprávně aplikovala politiku tím, že vzala v úvahu skóre </w:t>
      </w:r>
      <w:r w:rsidR="00323F6D">
        <w:rPr>
          <w:lang w:val="cs-CZ"/>
        </w:rPr>
        <w:t xml:space="preserve">pouze </w:t>
      </w:r>
      <w:r w:rsidR="00822C61">
        <w:rPr>
          <w:lang w:val="cs-CZ"/>
        </w:rPr>
        <w:t xml:space="preserve">z prvních dvou dnů soutěže. Odvolání bylo </w:t>
      </w:r>
      <w:r w:rsidR="00323F6D">
        <w:rPr>
          <w:lang w:val="cs-CZ"/>
        </w:rPr>
        <w:t>umožněno</w:t>
      </w:r>
      <w:r w:rsidR="003D5F25">
        <w:rPr>
          <w:lang w:val="cs-CZ"/>
        </w:rPr>
        <w:t xml:space="preserve">. </w:t>
      </w:r>
    </w:p>
    <w:p w:rsidR="00B66EB3" w:rsidRPr="00A53B7E" w:rsidRDefault="00B66EB3">
      <w:pPr>
        <w:pStyle w:val="Zkladntext"/>
        <w:rPr>
          <w:sz w:val="26"/>
          <w:lang w:val="cs-CZ"/>
        </w:rPr>
      </w:pPr>
    </w:p>
    <w:p w:rsidR="00B66EB3" w:rsidRPr="00A53B7E" w:rsidRDefault="00B66EB3">
      <w:pPr>
        <w:pStyle w:val="Zkladntext"/>
        <w:spacing w:before="5"/>
        <w:rPr>
          <w:sz w:val="20"/>
          <w:lang w:val="cs-CZ"/>
        </w:rPr>
      </w:pPr>
    </w:p>
    <w:p w:rsidR="00B66EB3" w:rsidRPr="00A53B7E" w:rsidRDefault="00822C61">
      <w:pPr>
        <w:pStyle w:val="Nadpis1"/>
        <w:rPr>
          <w:lang w:val="cs-CZ"/>
        </w:rPr>
      </w:pPr>
      <w:r>
        <w:rPr>
          <w:lang w:val="cs-CZ"/>
        </w:rPr>
        <w:t xml:space="preserve">Kontext </w:t>
      </w:r>
    </w:p>
    <w:p w:rsidR="00B66EB3" w:rsidRPr="00A53B7E" w:rsidRDefault="00B66EB3">
      <w:pPr>
        <w:pStyle w:val="Zkladntext"/>
        <w:spacing w:before="9"/>
        <w:rPr>
          <w:b/>
          <w:sz w:val="30"/>
          <w:lang w:val="cs-CZ"/>
        </w:rPr>
      </w:pPr>
    </w:p>
    <w:p w:rsidR="00B66EB3" w:rsidRPr="00323F6D" w:rsidRDefault="00822C61">
      <w:pPr>
        <w:spacing w:line="360" w:lineRule="auto"/>
        <w:ind w:left="540" w:right="615"/>
        <w:jc w:val="both"/>
        <w:rPr>
          <w:lang w:val="cs-CZ"/>
        </w:rPr>
      </w:pPr>
      <w:r w:rsidRPr="00822C61">
        <w:rPr>
          <w:lang w:val="cs-CZ"/>
        </w:rPr>
        <w:t xml:space="preserve">Skupina </w:t>
      </w:r>
      <w:r>
        <w:rPr>
          <w:lang w:val="cs-CZ"/>
        </w:rPr>
        <w:t xml:space="preserve">VB </w:t>
      </w:r>
      <w:r w:rsidRPr="00822C61">
        <w:rPr>
          <w:lang w:val="cs-CZ"/>
        </w:rPr>
        <w:t xml:space="preserve">se odvolala proti rozhodnutí BAGA nevybrat </w:t>
      </w:r>
      <w:r>
        <w:rPr>
          <w:lang w:val="cs-CZ"/>
        </w:rPr>
        <w:t>ji</w:t>
      </w:r>
      <w:r w:rsidRPr="00822C61">
        <w:rPr>
          <w:lang w:val="cs-CZ"/>
        </w:rPr>
        <w:t xml:space="preserve"> do soutěže na Olympijských hrách v Londýně 2012 z důvodu nedosažení dohodnutého požadovaného kvalifikačního výsledku během kvalifikační soutěže.</w:t>
      </w:r>
      <w:r>
        <w:rPr>
          <w:lang w:val="cs-CZ"/>
        </w:rPr>
        <w:t xml:space="preserve"> Před kvalifikační soutěží strany souhlasily s výběrovou politikou sepsanou BAGA</w:t>
      </w:r>
      <w:r w:rsidR="000E1D8C">
        <w:rPr>
          <w:lang w:val="cs-CZ"/>
        </w:rPr>
        <w:t>, kde je stanoveno, že „</w:t>
      </w:r>
      <w:r w:rsidR="000E1D8C" w:rsidRPr="00323F6D">
        <w:rPr>
          <w:i/>
          <w:lang w:val="cs-CZ"/>
        </w:rPr>
        <w:t xml:space="preserve">srovnávací skóre 45.223 bude nejvyšší povinné skóre, jehož musí dosáhnout britská skupina kategorie senior při 2. </w:t>
      </w:r>
      <w:r w:rsidR="00CA172C" w:rsidRPr="00323F6D">
        <w:rPr>
          <w:i/>
          <w:lang w:val="cs-CZ"/>
        </w:rPr>
        <w:t>o</w:t>
      </w:r>
      <w:r w:rsidR="000E1D8C" w:rsidRPr="00323F6D">
        <w:rPr>
          <w:i/>
          <w:lang w:val="cs-CZ"/>
        </w:rPr>
        <w:t xml:space="preserve">lympijské kvalifikaci, Cl, 15.-18. ledna 2012 [Testovací </w:t>
      </w:r>
      <w:r w:rsidR="00CA172C" w:rsidRPr="00323F6D">
        <w:rPr>
          <w:i/>
          <w:lang w:val="cs-CZ"/>
        </w:rPr>
        <w:t>soutěž</w:t>
      </w:r>
      <w:r w:rsidR="000E1D8C" w:rsidRPr="00323F6D">
        <w:rPr>
          <w:i/>
          <w:lang w:val="cs-CZ"/>
        </w:rPr>
        <w:t>].”</w:t>
      </w:r>
      <w:r w:rsidR="000E1D8C">
        <w:rPr>
          <w:lang w:val="cs-CZ"/>
        </w:rPr>
        <w:t xml:space="preserve"> </w:t>
      </w:r>
      <w:r w:rsidR="00CA172C">
        <w:rPr>
          <w:lang w:val="cs-CZ"/>
        </w:rPr>
        <w:t xml:space="preserve"> </w:t>
      </w:r>
    </w:p>
    <w:p w:rsidR="00B66EB3" w:rsidRPr="00A53B7E" w:rsidRDefault="00B66EB3">
      <w:pPr>
        <w:spacing w:line="360" w:lineRule="auto"/>
        <w:jc w:val="both"/>
        <w:rPr>
          <w:lang w:val="cs-CZ"/>
        </w:rPr>
        <w:sectPr w:rsidR="00B66EB3" w:rsidRPr="00A53B7E">
          <w:type w:val="continuous"/>
          <w:pgSz w:w="11910" w:h="16840"/>
          <w:pgMar w:top="660" w:right="820" w:bottom="280" w:left="900" w:header="708" w:footer="708" w:gutter="0"/>
          <w:cols w:space="708"/>
        </w:sectPr>
      </w:pPr>
    </w:p>
    <w:p w:rsidR="00B66EB3" w:rsidRPr="00A53B7E" w:rsidRDefault="000E1D8C">
      <w:pPr>
        <w:pStyle w:val="Zkladntext"/>
        <w:spacing w:before="81" w:line="360" w:lineRule="auto"/>
        <w:ind w:left="539" w:right="618"/>
        <w:jc w:val="both"/>
        <w:rPr>
          <w:lang w:val="cs-CZ"/>
        </w:rPr>
      </w:pPr>
      <w:r>
        <w:rPr>
          <w:lang w:val="cs-CZ"/>
        </w:rPr>
        <w:lastRenderedPageBreak/>
        <w:t xml:space="preserve">Soutěž se skládala ze dvoudenní kvalifikace a jednodenního finále. Během kvalifikační fáze soutěže dosáhla Skupina skóre 44,950, tedy pod srovnávacím skóre, a během finále dosáhla skóre 47.200, tedy nad srovnávacím skóre. </w:t>
      </w:r>
    </w:p>
    <w:p w:rsidR="00B66EB3" w:rsidRPr="00A53B7E" w:rsidRDefault="00B66EB3">
      <w:pPr>
        <w:pStyle w:val="Zkladntext"/>
        <w:rPr>
          <w:sz w:val="26"/>
          <w:lang w:val="cs-CZ"/>
        </w:rPr>
      </w:pPr>
    </w:p>
    <w:p w:rsidR="00B66EB3" w:rsidRPr="00A53B7E" w:rsidRDefault="00B66EB3">
      <w:pPr>
        <w:pStyle w:val="Zkladntext"/>
        <w:rPr>
          <w:sz w:val="26"/>
          <w:lang w:val="cs-CZ"/>
        </w:rPr>
      </w:pPr>
    </w:p>
    <w:p w:rsidR="00B66EB3" w:rsidRPr="00A53B7E" w:rsidRDefault="00B66EB3">
      <w:pPr>
        <w:pStyle w:val="Zkladntext"/>
        <w:spacing w:before="7"/>
        <w:rPr>
          <w:sz w:val="20"/>
          <w:lang w:val="cs-CZ"/>
        </w:rPr>
      </w:pPr>
    </w:p>
    <w:p w:rsidR="00B66EB3" w:rsidRPr="00A53B7E" w:rsidRDefault="000E1D8C">
      <w:pPr>
        <w:pStyle w:val="Nadpis1"/>
        <w:ind w:left="539"/>
        <w:jc w:val="both"/>
        <w:rPr>
          <w:lang w:val="cs-CZ"/>
        </w:rPr>
      </w:pPr>
      <w:r>
        <w:rPr>
          <w:lang w:val="cs-CZ"/>
        </w:rPr>
        <w:t xml:space="preserve">Zdůvodnění a rozhodnutí arbitra </w:t>
      </w:r>
    </w:p>
    <w:p w:rsidR="00B66EB3" w:rsidRPr="00A53B7E" w:rsidRDefault="00B66EB3">
      <w:pPr>
        <w:pStyle w:val="Zkladntext"/>
        <w:spacing w:before="8"/>
        <w:rPr>
          <w:b/>
          <w:sz w:val="30"/>
          <w:lang w:val="cs-CZ"/>
        </w:rPr>
      </w:pPr>
    </w:p>
    <w:p w:rsidR="00B66EB3" w:rsidRPr="00A53B7E" w:rsidRDefault="009433D1">
      <w:pPr>
        <w:pStyle w:val="Zkladntext"/>
        <w:spacing w:before="1" w:line="360" w:lineRule="auto"/>
        <w:ind w:left="539" w:right="617"/>
        <w:jc w:val="both"/>
        <w:rPr>
          <w:lang w:val="cs-CZ"/>
        </w:rPr>
      </w:pPr>
      <w:r>
        <w:rPr>
          <w:lang w:val="cs-CZ"/>
        </w:rPr>
        <w:t>Skupina VB tvrdila, že BAGA nesprávně aplikovala dohodnutou výběrovou politiku, jelikož odmítla nominovat Skupinu VB do soutěže na Olympijských hrách, i když</w:t>
      </w:r>
      <w:r w:rsidR="001E71E0">
        <w:rPr>
          <w:lang w:val="cs-CZ"/>
        </w:rPr>
        <w:t xml:space="preserve"> v průběhu kvalifikační soutěže</w:t>
      </w:r>
      <w:r>
        <w:rPr>
          <w:lang w:val="cs-CZ"/>
        </w:rPr>
        <w:t xml:space="preserve"> </w:t>
      </w:r>
      <w:r w:rsidR="001E71E0">
        <w:rPr>
          <w:lang w:val="cs-CZ"/>
        </w:rPr>
        <w:t>dosáhly skóre vyššího</w:t>
      </w:r>
      <w:r w:rsidR="00CA172C">
        <w:rPr>
          <w:lang w:val="cs-CZ"/>
        </w:rPr>
        <w:t>,</w:t>
      </w:r>
      <w:r w:rsidR="001E71E0">
        <w:rPr>
          <w:lang w:val="cs-CZ"/>
        </w:rPr>
        <w:t xml:space="preserve"> než bylo požadované srovnávací skóre.</w:t>
      </w:r>
      <w:r>
        <w:rPr>
          <w:lang w:val="cs-CZ"/>
        </w:rPr>
        <w:t xml:space="preserve"> </w:t>
      </w:r>
    </w:p>
    <w:p w:rsidR="00B66EB3" w:rsidRPr="00A53B7E" w:rsidRDefault="00B66EB3">
      <w:pPr>
        <w:pStyle w:val="Zkladntext"/>
        <w:spacing w:before="7"/>
        <w:rPr>
          <w:sz w:val="19"/>
          <w:lang w:val="cs-CZ"/>
        </w:rPr>
      </w:pPr>
    </w:p>
    <w:p w:rsidR="00B66EB3" w:rsidRPr="00A53B7E" w:rsidRDefault="001E71E0">
      <w:pPr>
        <w:pStyle w:val="Zkladntext"/>
        <w:spacing w:before="1" w:line="360" w:lineRule="auto"/>
        <w:ind w:left="540" w:right="618"/>
        <w:jc w:val="both"/>
        <w:rPr>
          <w:lang w:val="cs-CZ"/>
        </w:rPr>
      </w:pPr>
      <w:r>
        <w:rPr>
          <w:lang w:val="cs-CZ"/>
        </w:rPr>
        <w:t xml:space="preserve">BAGA uvedla, že je </w:t>
      </w:r>
      <w:r w:rsidR="00CA172C">
        <w:rPr>
          <w:lang w:val="cs-CZ"/>
        </w:rPr>
        <w:t>všeobecně</w:t>
      </w:r>
      <w:r>
        <w:rPr>
          <w:lang w:val="cs-CZ"/>
        </w:rPr>
        <w:t xml:space="preserve"> známo</w:t>
      </w:r>
      <w:r w:rsidR="00CA172C">
        <w:rPr>
          <w:lang w:val="cs-CZ"/>
        </w:rPr>
        <w:t>, že</w:t>
      </w:r>
      <w:r w:rsidR="00CA172C" w:rsidRPr="00CA172C">
        <w:rPr>
          <w:lang w:val="cs-CZ"/>
        </w:rPr>
        <w:t xml:space="preserve"> </w:t>
      </w:r>
      <w:r w:rsidR="00CA172C">
        <w:rPr>
          <w:lang w:val="cs-CZ"/>
        </w:rPr>
        <w:t xml:space="preserve">termín „Cl“ </w:t>
      </w:r>
      <w:r w:rsidR="00323F6D">
        <w:rPr>
          <w:lang w:val="cs-CZ"/>
        </w:rPr>
        <w:t>obsažený v textu</w:t>
      </w:r>
      <w:r w:rsidR="00CA172C">
        <w:rPr>
          <w:lang w:val="cs-CZ"/>
        </w:rPr>
        <w:t xml:space="preserve"> výběrové politi</w:t>
      </w:r>
      <w:r w:rsidR="00323F6D">
        <w:rPr>
          <w:lang w:val="cs-CZ"/>
        </w:rPr>
        <w:t>ky</w:t>
      </w:r>
      <w:r>
        <w:rPr>
          <w:lang w:val="cs-CZ"/>
        </w:rPr>
        <w:t xml:space="preserve"> odkazuje pouze na kvalifikační část soutěží formátu mistrovství světa, a tudíž že Skupina VB nesplnila minimální výběrové požadavky. </w:t>
      </w:r>
    </w:p>
    <w:p w:rsidR="00B66EB3" w:rsidRPr="00A53B7E" w:rsidRDefault="00B66EB3">
      <w:pPr>
        <w:pStyle w:val="Zkladntext"/>
        <w:spacing w:before="10"/>
        <w:rPr>
          <w:sz w:val="19"/>
          <w:lang w:val="cs-CZ"/>
        </w:rPr>
      </w:pPr>
    </w:p>
    <w:p w:rsidR="00B66EB3" w:rsidRPr="00A53B7E" w:rsidRDefault="001E71E0">
      <w:pPr>
        <w:pStyle w:val="Zkladntext"/>
        <w:spacing w:line="360" w:lineRule="auto"/>
        <w:ind w:left="539" w:right="617"/>
        <w:jc w:val="both"/>
        <w:rPr>
          <w:lang w:val="cs-CZ"/>
        </w:rPr>
      </w:pPr>
      <w:r>
        <w:rPr>
          <w:lang w:val="cs-CZ"/>
        </w:rPr>
        <w:t xml:space="preserve">Arbitr poznamenal, že výběrová politika odkazuje na kvalifikační soutěž ve dnech 15.-18. ledna 2012 a rozhodl, že bylo tedy možné rozumně předpokládat, že výběrová politika umožňuje Skupině VB dosáhnout požadovaného „srovnávacího skóre“ během kvalifikace nebo finále dané soutěže, nikoliv pouze během kvalifikační fáze. Arbitr zmínil, že výběrová politika není sepsána optimálním způsobem, a že klidně mohla obsahovat znění upřesňující, že „srovnávací skóre“ znamená pouze skóre dosažené během kvalifikační fáze soutěže, pokud tak byla zamýšlena. </w:t>
      </w:r>
    </w:p>
    <w:p w:rsidR="00B66EB3" w:rsidRPr="00A53B7E" w:rsidRDefault="00B66EB3">
      <w:pPr>
        <w:pStyle w:val="Zkladntext"/>
        <w:spacing w:before="7"/>
        <w:rPr>
          <w:sz w:val="19"/>
          <w:lang w:val="cs-CZ"/>
        </w:rPr>
      </w:pPr>
    </w:p>
    <w:p w:rsidR="00B66EB3" w:rsidRPr="00A53B7E" w:rsidRDefault="001E71E0">
      <w:pPr>
        <w:pStyle w:val="Zkladntext"/>
        <w:spacing w:line="362" w:lineRule="auto"/>
        <w:ind w:left="539" w:right="616"/>
        <w:jc w:val="both"/>
        <w:rPr>
          <w:lang w:val="cs-CZ"/>
        </w:rPr>
      </w:pPr>
      <w:r>
        <w:rPr>
          <w:lang w:val="cs-CZ"/>
        </w:rPr>
        <w:t xml:space="preserve">Arbitr proto odvolání </w:t>
      </w:r>
      <w:r w:rsidR="00323F6D">
        <w:rPr>
          <w:lang w:val="cs-CZ"/>
        </w:rPr>
        <w:t>umožnil</w:t>
      </w:r>
      <w:r>
        <w:rPr>
          <w:lang w:val="cs-CZ"/>
        </w:rPr>
        <w:t xml:space="preserve"> a nařídil nominování Skupiny VB na místo domácího soutěžícího pro Olympijské hry 2012. </w:t>
      </w:r>
    </w:p>
    <w:p w:rsidR="00B66EB3" w:rsidRPr="00A53B7E" w:rsidRDefault="00B66EB3">
      <w:pPr>
        <w:pStyle w:val="Zkladntext"/>
        <w:rPr>
          <w:sz w:val="26"/>
          <w:lang w:val="cs-CZ"/>
        </w:rPr>
      </w:pPr>
    </w:p>
    <w:p w:rsidR="00B66EB3" w:rsidRPr="00A53B7E" w:rsidRDefault="00B66EB3">
      <w:pPr>
        <w:pStyle w:val="Zkladntext"/>
        <w:rPr>
          <w:sz w:val="26"/>
          <w:lang w:val="cs-CZ"/>
        </w:rPr>
      </w:pPr>
    </w:p>
    <w:p w:rsidR="00B66EB3" w:rsidRPr="00A53B7E" w:rsidRDefault="00B66EB3">
      <w:pPr>
        <w:pStyle w:val="Zkladntext"/>
        <w:spacing w:before="2"/>
        <w:rPr>
          <w:sz w:val="20"/>
          <w:lang w:val="cs-CZ"/>
        </w:rPr>
      </w:pPr>
    </w:p>
    <w:p w:rsidR="00B66EB3" w:rsidRPr="00A53B7E" w:rsidRDefault="003A376F">
      <w:pPr>
        <w:pStyle w:val="Nadpis1"/>
        <w:ind w:left="539"/>
        <w:jc w:val="both"/>
        <w:rPr>
          <w:lang w:val="cs-CZ"/>
        </w:rPr>
      </w:pPr>
      <w:r>
        <w:rPr>
          <w:lang w:val="cs-CZ"/>
        </w:rPr>
        <w:t xml:space="preserve">Poučení </w:t>
      </w:r>
    </w:p>
    <w:p w:rsidR="00B66EB3" w:rsidRPr="00A53B7E" w:rsidRDefault="00B66EB3">
      <w:pPr>
        <w:pStyle w:val="Zkladntext"/>
        <w:spacing w:before="9"/>
        <w:rPr>
          <w:b/>
          <w:sz w:val="30"/>
          <w:lang w:val="cs-CZ"/>
        </w:rPr>
      </w:pPr>
    </w:p>
    <w:p w:rsidR="00B66EB3" w:rsidRPr="00A53B7E" w:rsidRDefault="00A54FC4">
      <w:pPr>
        <w:pStyle w:val="Odstavecseseznamem"/>
        <w:numPr>
          <w:ilvl w:val="0"/>
          <w:numId w:val="1"/>
        </w:numPr>
        <w:tabs>
          <w:tab w:val="left" w:pos="1259"/>
          <w:tab w:val="left" w:pos="1260"/>
        </w:tabs>
        <w:spacing w:line="357" w:lineRule="auto"/>
        <w:rPr>
          <w:lang w:val="cs-CZ"/>
        </w:rPr>
      </w:pPr>
      <w:r>
        <w:rPr>
          <w:lang w:val="cs-CZ"/>
        </w:rPr>
        <w:t>Je nutné zajistit</w:t>
      </w:r>
      <w:r w:rsidR="00E45EC4">
        <w:rPr>
          <w:lang w:val="cs-CZ"/>
        </w:rPr>
        <w:t xml:space="preserve"> jasné znění výběrové politiky, seznámit plně obě strany s kritérii a podmínkami výběru a důkladně zvážit význam technických vět. Pokud je význam nejasný nebo sporný, bude věc posouzena tak, jak by ji posoudila rozumná osoba obeznámená s celým kontextem (jež byl s největší pravděpodobností znám všem stranám v okamžiku vypracování politiky).  </w:t>
      </w:r>
    </w:p>
    <w:p w:rsidR="00B66EB3" w:rsidRPr="00A53B7E" w:rsidRDefault="00B66EB3">
      <w:pPr>
        <w:spacing w:line="357" w:lineRule="auto"/>
        <w:rPr>
          <w:lang w:val="cs-CZ"/>
        </w:rPr>
        <w:sectPr w:rsidR="00B66EB3" w:rsidRPr="00A53B7E">
          <w:pgSz w:w="11910" w:h="16840"/>
          <w:pgMar w:top="1340" w:right="820" w:bottom="280" w:left="900" w:header="708" w:footer="708" w:gutter="0"/>
          <w:cols w:space="708"/>
        </w:sectPr>
      </w:pPr>
    </w:p>
    <w:p w:rsidR="00B66EB3" w:rsidRPr="00A53B7E" w:rsidRDefault="00B66EB3">
      <w:pPr>
        <w:pStyle w:val="Zkladntext"/>
        <w:ind w:left="100"/>
        <w:rPr>
          <w:sz w:val="20"/>
          <w:lang w:val="cs-CZ"/>
        </w:rPr>
      </w:pPr>
      <w:bookmarkStart w:id="0" w:name="_GoBack"/>
      <w:bookmarkEnd w:id="0"/>
    </w:p>
    <w:sectPr w:rsidR="00B66EB3" w:rsidRPr="00A53B7E">
      <w:pgSz w:w="11910" w:h="16840"/>
      <w:pgMar w:top="1420" w:right="8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C5973"/>
    <w:multiLevelType w:val="hybridMultilevel"/>
    <w:tmpl w:val="9CD41426"/>
    <w:lvl w:ilvl="0" w:tplc="3B105070">
      <w:numFmt w:val="bullet"/>
      <w:lvlText w:val=""/>
      <w:lvlJc w:val="left"/>
      <w:pPr>
        <w:ind w:left="1260" w:hanging="361"/>
      </w:pPr>
      <w:rPr>
        <w:rFonts w:ascii="Symbol" w:eastAsia="Symbol" w:hAnsi="Symbol" w:cs="Symbol" w:hint="default"/>
        <w:w w:val="100"/>
        <w:sz w:val="22"/>
        <w:szCs w:val="22"/>
        <w:lang w:val="en-GB" w:eastAsia="en-GB" w:bidi="en-GB"/>
      </w:rPr>
    </w:lvl>
    <w:lvl w:ilvl="1" w:tplc="2B04A5D4">
      <w:numFmt w:val="bullet"/>
      <w:lvlText w:val="•"/>
      <w:lvlJc w:val="left"/>
      <w:pPr>
        <w:ind w:left="2152" w:hanging="361"/>
      </w:pPr>
      <w:rPr>
        <w:rFonts w:hint="default"/>
        <w:lang w:val="en-GB" w:eastAsia="en-GB" w:bidi="en-GB"/>
      </w:rPr>
    </w:lvl>
    <w:lvl w:ilvl="2" w:tplc="2D324F02">
      <w:numFmt w:val="bullet"/>
      <w:lvlText w:val="•"/>
      <w:lvlJc w:val="left"/>
      <w:pPr>
        <w:ind w:left="3045" w:hanging="361"/>
      </w:pPr>
      <w:rPr>
        <w:rFonts w:hint="default"/>
        <w:lang w:val="en-GB" w:eastAsia="en-GB" w:bidi="en-GB"/>
      </w:rPr>
    </w:lvl>
    <w:lvl w:ilvl="3" w:tplc="767E31EA">
      <w:numFmt w:val="bullet"/>
      <w:lvlText w:val="•"/>
      <w:lvlJc w:val="left"/>
      <w:pPr>
        <w:ind w:left="3937" w:hanging="361"/>
      </w:pPr>
      <w:rPr>
        <w:rFonts w:hint="default"/>
        <w:lang w:val="en-GB" w:eastAsia="en-GB" w:bidi="en-GB"/>
      </w:rPr>
    </w:lvl>
    <w:lvl w:ilvl="4" w:tplc="23607F92">
      <w:numFmt w:val="bullet"/>
      <w:lvlText w:val="•"/>
      <w:lvlJc w:val="left"/>
      <w:pPr>
        <w:ind w:left="4830" w:hanging="361"/>
      </w:pPr>
      <w:rPr>
        <w:rFonts w:hint="default"/>
        <w:lang w:val="en-GB" w:eastAsia="en-GB" w:bidi="en-GB"/>
      </w:rPr>
    </w:lvl>
    <w:lvl w:ilvl="5" w:tplc="6FA21E48">
      <w:numFmt w:val="bullet"/>
      <w:lvlText w:val="•"/>
      <w:lvlJc w:val="left"/>
      <w:pPr>
        <w:ind w:left="5723" w:hanging="361"/>
      </w:pPr>
      <w:rPr>
        <w:rFonts w:hint="default"/>
        <w:lang w:val="en-GB" w:eastAsia="en-GB" w:bidi="en-GB"/>
      </w:rPr>
    </w:lvl>
    <w:lvl w:ilvl="6" w:tplc="099E3132">
      <w:numFmt w:val="bullet"/>
      <w:lvlText w:val="•"/>
      <w:lvlJc w:val="left"/>
      <w:pPr>
        <w:ind w:left="6615" w:hanging="361"/>
      </w:pPr>
      <w:rPr>
        <w:rFonts w:hint="default"/>
        <w:lang w:val="en-GB" w:eastAsia="en-GB" w:bidi="en-GB"/>
      </w:rPr>
    </w:lvl>
    <w:lvl w:ilvl="7" w:tplc="BF966462">
      <w:numFmt w:val="bullet"/>
      <w:lvlText w:val="•"/>
      <w:lvlJc w:val="left"/>
      <w:pPr>
        <w:ind w:left="7508" w:hanging="361"/>
      </w:pPr>
      <w:rPr>
        <w:rFonts w:hint="default"/>
        <w:lang w:val="en-GB" w:eastAsia="en-GB" w:bidi="en-GB"/>
      </w:rPr>
    </w:lvl>
    <w:lvl w:ilvl="8" w:tplc="626C3D08">
      <w:numFmt w:val="bullet"/>
      <w:lvlText w:val="•"/>
      <w:lvlJc w:val="left"/>
      <w:pPr>
        <w:ind w:left="8401"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B3"/>
    <w:rsid w:val="000E1D8C"/>
    <w:rsid w:val="001E71E0"/>
    <w:rsid w:val="002E2EA8"/>
    <w:rsid w:val="00323F6D"/>
    <w:rsid w:val="003A376F"/>
    <w:rsid w:val="003D5F25"/>
    <w:rsid w:val="00822C61"/>
    <w:rsid w:val="008B5959"/>
    <w:rsid w:val="009433D1"/>
    <w:rsid w:val="00A53B7E"/>
    <w:rsid w:val="00A54FC4"/>
    <w:rsid w:val="00B3599B"/>
    <w:rsid w:val="00B66EB3"/>
    <w:rsid w:val="00CA172C"/>
    <w:rsid w:val="00E45EC4"/>
    <w:rsid w:val="00E500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746AD-FE30-4796-8369-835F84CD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Verdana" w:eastAsia="Verdana" w:hAnsi="Verdana" w:cs="Verdana"/>
      <w:lang w:val="en-GB" w:eastAsia="en-GB" w:bidi="en-GB"/>
    </w:rPr>
  </w:style>
  <w:style w:type="paragraph" w:styleId="Nadpis1">
    <w:name w:val="heading 1"/>
    <w:basedOn w:val="Normln"/>
    <w:uiPriority w:val="9"/>
    <w:qFormat/>
    <w:pPr>
      <w:ind w:left="54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1260" w:right="616" w:hanging="361"/>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3D5F2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5F25"/>
    <w:rPr>
      <w:rFonts w:ascii="Segoe UI" w:eastAsia="Verdan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485</Words>
  <Characters>2865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Weich</dc:creator>
  <cp:lastModifiedBy>Irena Vicarova</cp:lastModifiedBy>
  <cp:revision>8</cp:revision>
  <dcterms:created xsi:type="dcterms:W3CDTF">2018-12-28T18:48:00Z</dcterms:created>
  <dcterms:modified xsi:type="dcterms:W3CDTF">2019-01-20T13:07:00Z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18 for Word</vt:lpwstr>
  </property>
  <property fmtid="{D5CDD505-2E9C-101B-9397-08002B2CF9AE}" pid="4" name="LastSaved">
    <vt:filetime>2018-10-12T00:00:00Z</vt:filetime>
  </property>
</Properties>
</file>