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D6C" w:rsidRPr="002218FE" w:rsidRDefault="00125859">
      <w:pPr>
        <w:pStyle w:val="Zkladntext"/>
        <w:spacing w:before="32"/>
        <w:ind w:right="117"/>
        <w:jc w:val="right"/>
        <w:rPr>
          <w:rFonts w:ascii="Arial"/>
          <w:lang w:val="cs-CZ"/>
        </w:rPr>
      </w:pPr>
      <w:r>
        <w:rPr>
          <w:rFonts w:ascii="Arial"/>
          <w:w w:val="90"/>
          <w:lang w:val="cs-CZ"/>
        </w:rPr>
        <w:t>Rozhodnut</w:t>
      </w:r>
      <w:r>
        <w:rPr>
          <w:rFonts w:ascii="Arial"/>
          <w:w w:val="90"/>
          <w:lang w:val="cs-CZ"/>
        </w:rPr>
        <w:t>í</w:t>
      </w:r>
      <w:r>
        <w:rPr>
          <w:rFonts w:ascii="Arial"/>
          <w:w w:val="90"/>
          <w:lang w:val="cs-CZ"/>
        </w:rPr>
        <w:t xml:space="preserve"> Disciplin</w:t>
      </w:r>
      <w:r>
        <w:rPr>
          <w:rFonts w:ascii="Arial"/>
          <w:w w:val="90"/>
          <w:lang w:val="cs-CZ"/>
        </w:rPr>
        <w:t>á</w:t>
      </w:r>
      <w:r>
        <w:rPr>
          <w:rFonts w:ascii="Arial"/>
          <w:w w:val="90"/>
          <w:lang w:val="cs-CZ"/>
        </w:rPr>
        <w:t>rn</w:t>
      </w:r>
      <w:r>
        <w:rPr>
          <w:rFonts w:ascii="Arial"/>
          <w:w w:val="90"/>
          <w:lang w:val="cs-CZ"/>
        </w:rPr>
        <w:t>í</w:t>
      </w:r>
      <w:r>
        <w:rPr>
          <w:rFonts w:ascii="Arial"/>
          <w:w w:val="90"/>
          <w:lang w:val="cs-CZ"/>
        </w:rPr>
        <w:t>ho v</w:t>
      </w:r>
      <w:r>
        <w:rPr>
          <w:rFonts w:ascii="Arial"/>
          <w:w w:val="90"/>
          <w:lang w:val="cs-CZ"/>
        </w:rPr>
        <w:t>ý</w:t>
      </w:r>
      <w:r>
        <w:rPr>
          <w:rFonts w:ascii="Arial"/>
          <w:w w:val="90"/>
          <w:lang w:val="cs-CZ"/>
        </w:rPr>
        <w:t xml:space="preserve">boru </w:t>
      </w:r>
      <w:r w:rsidR="007A71D1" w:rsidRPr="002218FE">
        <w:rPr>
          <w:rFonts w:ascii="Arial"/>
          <w:w w:val="90"/>
          <w:lang w:val="cs-CZ"/>
        </w:rPr>
        <w:t>(</w:t>
      </w:r>
      <w:r>
        <w:rPr>
          <w:rFonts w:ascii="Arial"/>
          <w:w w:val="90"/>
          <w:lang w:val="cs-CZ"/>
        </w:rPr>
        <w:t>č</w:t>
      </w:r>
      <w:r>
        <w:rPr>
          <w:rFonts w:ascii="Arial"/>
          <w:w w:val="90"/>
          <w:lang w:val="cs-CZ"/>
        </w:rPr>
        <w:t>ervenec</w:t>
      </w:r>
      <w:r w:rsidR="007A71D1" w:rsidRPr="002218FE">
        <w:rPr>
          <w:rFonts w:ascii="Arial"/>
          <w:spacing w:val="9"/>
          <w:w w:val="90"/>
          <w:lang w:val="cs-CZ"/>
        </w:rPr>
        <w:t xml:space="preserve"> </w:t>
      </w:r>
      <w:r w:rsidR="007A71D1" w:rsidRPr="002218FE">
        <w:rPr>
          <w:rFonts w:ascii="Arial"/>
          <w:w w:val="90"/>
          <w:lang w:val="cs-CZ"/>
        </w:rPr>
        <w:t>2012)</w:t>
      </w:r>
    </w:p>
    <w:p w:rsidR="001B0D6C" w:rsidRPr="002218FE" w:rsidRDefault="007A71D1">
      <w:pPr>
        <w:pStyle w:val="Zkladntext"/>
        <w:spacing w:before="15"/>
        <w:ind w:right="116"/>
        <w:jc w:val="right"/>
        <w:rPr>
          <w:rFonts w:ascii="Arial"/>
          <w:lang w:val="cs-CZ"/>
        </w:rPr>
      </w:pPr>
      <w:r w:rsidRPr="002218FE">
        <w:rPr>
          <w:rFonts w:ascii="Arial"/>
          <w:w w:val="90"/>
          <w:lang w:val="cs-CZ"/>
        </w:rPr>
        <w:t>WPBSA</w:t>
      </w:r>
      <w:r w:rsidRPr="002218FE">
        <w:rPr>
          <w:rFonts w:ascii="Arial"/>
          <w:spacing w:val="-34"/>
          <w:w w:val="90"/>
          <w:lang w:val="cs-CZ"/>
        </w:rPr>
        <w:t xml:space="preserve"> </w:t>
      </w:r>
      <w:r w:rsidRPr="002218FE">
        <w:rPr>
          <w:rFonts w:ascii="Arial"/>
          <w:w w:val="90"/>
          <w:lang w:val="cs-CZ"/>
        </w:rPr>
        <w:t>v</w:t>
      </w:r>
      <w:r w:rsidRPr="002218FE">
        <w:rPr>
          <w:rFonts w:ascii="Arial"/>
          <w:spacing w:val="-34"/>
          <w:w w:val="90"/>
          <w:lang w:val="cs-CZ"/>
        </w:rPr>
        <w:t xml:space="preserve"> </w:t>
      </w:r>
      <w:r w:rsidR="00125859">
        <w:rPr>
          <w:rFonts w:ascii="Arial"/>
          <w:w w:val="90"/>
          <w:lang w:val="cs-CZ"/>
        </w:rPr>
        <w:t>Hr</w:t>
      </w:r>
      <w:r w:rsidR="00125859">
        <w:rPr>
          <w:rFonts w:ascii="Arial"/>
          <w:w w:val="90"/>
          <w:lang w:val="cs-CZ"/>
        </w:rPr>
        <w:t>áč</w:t>
      </w:r>
      <w:r w:rsidR="00125859">
        <w:rPr>
          <w:rFonts w:ascii="Arial"/>
          <w:w w:val="90"/>
          <w:lang w:val="cs-CZ"/>
        </w:rPr>
        <w:t xml:space="preserve"> </w:t>
      </w:r>
      <w:r w:rsidRPr="002218FE">
        <w:rPr>
          <w:rFonts w:ascii="Arial"/>
          <w:w w:val="90"/>
          <w:lang w:val="cs-CZ"/>
        </w:rPr>
        <w:t>K</w:t>
      </w:r>
    </w:p>
    <w:p w:rsidR="001B0D6C" w:rsidRPr="002218FE" w:rsidRDefault="001B0D6C">
      <w:pPr>
        <w:pStyle w:val="Zkladntext"/>
        <w:rPr>
          <w:rFonts w:ascii="Arial"/>
          <w:sz w:val="20"/>
          <w:lang w:val="cs-CZ"/>
        </w:rPr>
      </w:pPr>
    </w:p>
    <w:p w:rsidR="001B0D6C" w:rsidRPr="002218FE" w:rsidRDefault="001B0D6C">
      <w:pPr>
        <w:pStyle w:val="Zkladntext"/>
        <w:rPr>
          <w:rFonts w:ascii="Arial"/>
          <w:sz w:val="20"/>
          <w:lang w:val="cs-CZ"/>
        </w:rPr>
      </w:pPr>
    </w:p>
    <w:p w:rsidR="001B0D6C" w:rsidRPr="002218FE" w:rsidRDefault="002218FE" w:rsidP="005427FB">
      <w:pPr>
        <w:spacing w:before="264"/>
        <w:ind w:left="1440"/>
        <w:rPr>
          <w:b/>
          <w:sz w:val="28"/>
          <w:lang w:val="cs-CZ"/>
        </w:rPr>
      </w:pPr>
      <w:r>
        <w:rPr>
          <w:b/>
          <w:sz w:val="28"/>
          <w:lang w:val="cs-CZ"/>
        </w:rPr>
        <w:t xml:space="preserve">Případ č. 35 </w:t>
      </w:r>
      <w:r w:rsidR="005142F6">
        <w:rPr>
          <w:b/>
          <w:sz w:val="28"/>
          <w:lang w:val="cs-CZ"/>
        </w:rPr>
        <w:t>–</w:t>
      </w:r>
      <w:r>
        <w:rPr>
          <w:b/>
          <w:sz w:val="28"/>
          <w:lang w:val="cs-CZ"/>
        </w:rPr>
        <w:t xml:space="preserve"> </w:t>
      </w:r>
      <w:r w:rsidR="00125859">
        <w:rPr>
          <w:b/>
          <w:sz w:val="28"/>
          <w:lang w:val="cs-CZ"/>
        </w:rPr>
        <w:t>Porušení pravidel</w:t>
      </w:r>
      <w:r w:rsidR="005142F6">
        <w:rPr>
          <w:b/>
          <w:sz w:val="28"/>
          <w:lang w:val="cs-CZ"/>
        </w:rPr>
        <w:t xml:space="preserve"> při sázení</w:t>
      </w:r>
    </w:p>
    <w:p w:rsidR="001B0D6C" w:rsidRPr="002218FE" w:rsidRDefault="001B0D6C">
      <w:pPr>
        <w:pStyle w:val="Zkladntext"/>
        <w:rPr>
          <w:b/>
          <w:sz w:val="20"/>
          <w:lang w:val="cs-CZ"/>
        </w:rPr>
      </w:pPr>
    </w:p>
    <w:p w:rsidR="001B0D6C" w:rsidRPr="002218FE" w:rsidRDefault="001B0D6C">
      <w:pPr>
        <w:pStyle w:val="Zkladntext"/>
        <w:rPr>
          <w:b/>
          <w:sz w:val="20"/>
          <w:lang w:val="cs-CZ"/>
        </w:rPr>
      </w:pPr>
    </w:p>
    <w:p w:rsidR="001B0D6C" w:rsidRPr="002218FE" w:rsidRDefault="001B0D6C">
      <w:pPr>
        <w:pStyle w:val="Zkladntext"/>
        <w:spacing w:before="2"/>
        <w:rPr>
          <w:b/>
          <w:sz w:val="25"/>
          <w:lang w:val="cs-CZ"/>
        </w:rPr>
      </w:pPr>
    </w:p>
    <w:p w:rsidR="001B0D6C" w:rsidRPr="002218FE" w:rsidRDefault="00125859">
      <w:pPr>
        <w:pStyle w:val="Nadpis1"/>
        <w:spacing w:before="101"/>
        <w:ind w:left="119"/>
        <w:rPr>
          <w:lang w:val="cs-CZ"/>
        </w:rPr>
      </w:pPr>
      <w:r>
        <w:rPr>
          <w:lang w:val="cs-CZ"/>
        </w:rPr>
        <w:t xml:space="preserve">Klíčová slova </w:t>
      </w:r>
    </w:p>
    <w:p w:rsidR="001B0D6C" w:rsidRPr="002218FE" w:rsidRDefault="001B0D6C">
      <w:pPr>
        <w:pStyle w:val="Zkladntext"/>
        <w:spacing w:before="9"/>
        <w:rPr>
          <w:b/>
          <w:sz w:val="30"/>
          <w:lang w:val="cs-CZ"/>
        </w:rPr>
      </w:pPr>
    </w:p>
    <w:p w:rsidR="001B0D6C" w:rsidRPr="002218FE" w:rsidRDefault="005142F6">
      <w:pPr>
        <w:ind w:left="119"/>
        <w:rPr>
          <w:i/>
          <w:lang w:val="cs-CZ"/>
        </w:rPr>
      </w:pPr>
      <w:r w:rsidRPr="00125859">
        <w:rPr>
          <w:i/>
          <w:color w:val="0070C0"/>
          <w:lang w:val="cs-CZ"/>
        </w:rPr>
        <w:t>Sázení</w:t>
      </w:r>
      <w:r>
        <w:rPr>
          <w:i/>
          <w:color w:val="0070C0"/>
          <w:lang w:val="cs-CZ"/>
        </w:rPr>
        <w:t xml:space="preserve">; </w:t>
      </w:r>
      <w:r w:rsidRPr="005427FB">
        <w:rPr>
          <w:i/>
          <w:lang w:val="cs-CZ"/>
        </w:rPr>
        <w:t xml:space="preserve">Zneužití postavení; Telekomunikace; Odhalení; Telefonní záznamy; Doživotní zákaz </w:t>
      </w:r>
    </w:p>
    <w:p w:rsidR="001B0D6C" w:rsidRPr="002218FE" w:rsidRDefault="001B0D6C">
      <w:pPr>
        <w:pStyle w:val="Zkladntext"/>
        <w:rPr>
          <w:i/>
          <w:sz w:val="26"/>
          <w:lang w:val="cs-CZ"/>
        </w:rPr>
      </w:pPr>
    </w:p>
    <w:p w:rsidR="001B0D6C" w:rsidRPr="002218FE" w:rsidRDefault="001B0D6C">
      <w:pPr>
        <w:pStyle w:val="Zkladntext"/>
        <w:rPr>
          <w:i/>
          <w:sz w:val="26"/>
          <w:lang w:val="cs-CZ"/>
        </w:rPr>
      </w:pPr>
    </w:p>
    <w:p w:rsidR="001B0D6C" w:rsidRPr="002218FE" w:rsidRDefault="001B0D6C">
      <w:pPr>
        <w:pStyle w:val="Zkladntext"/>
        <w:spacing w:before="2"/>
        <w:rPr>
          <w:i/>
          <w:sz w:val="21"/>
          <w:lang w:val="cs-CZ"/>
        </w:rPr>
      </w:pPr>
    </w:p>
    <w:p w:rsidR="001B0D6C" w:rsidRPr="002218FE" w:rsidRDefault="007A71D1">
      <w:pPr>
        <w:pStyle w:val="Nadpis1"/>
        <w:rPr>
          <w:lang w:val="cs-CZ"/>
        </w:rPr>
      </w:pPr>
      <w:bookmarkStart w:id="0" w:name="_GoBack"/>
      <w:bookmarkEnd w:id="0"/>
      <w:r w:rsidRPr="002218FE">
        <w:rPr>
          <w:lang w:val="cs-CZ"/>
        </w:rPr>
        <w:t>S</w:t>
      </w:r>
      <w:r w:rsidR="005142F6">
        <w:rPr>
          <w:lang w:val="cs-CZ"/>
        </w:rPr>
        <w:t xml:space="preserve">hrnutí </w:t>
      </w:r>
    </w:p>
    <w:p w:rsidR="001B0D6C" w:rsidRPr="002218FE" w:rsidRDefault="001B0D6C">
      <w:pPr>
        <w:pStyle w:val="Zkladntext"/>
        <w:spacing w:before="9"/>
        <w:rPr>
          <w:b/>
          <w:sz w:val="30"/>
          <w:lang w:val="cs-CZ"/>
        </w:rPr>
      </w:pPr>
    </w:p>
    <w:p w:rsidR="001B0D6C" w:rsidRPr="002218FE" w:rsidRDefault="0099710A" w:rsidP="005427FB">
      <w:pPr>
        <w:pStyle w:val="Zkladntext"/>
        <w:spacing w:line="360" w:lineRule="auto"/>
        <w:ind w:left="120" w:right="114"/>
        <w:jc w:val="both"/>
        <w:rPr>
          <w:sz w:val="26"/>
          <w:lang w:val="cs-CZ"/>
        </w:rPr>
      </w:pPr>
      <w:r>
        <w:rPr>
          <w:lang w:val="cs-CZ"/>
        </w:rPr>
        <w:t xml:space="preserve">Hráč K byl obviněn </w:t>
      </w:r>
      <w:r w:rsidRPr="0099710A">
        <w:rPr>
          <w:lang w:val="cs-CZ"/>
        </w:rPr>
        <w:t>Světov</w:t>
      </w:r>
      <w:r>
        <w:rPr>
          <w:lang w:val="cs-CZ"/>
        </w:rPr>
        <w:t>ou</w:t>
      </w:r>
      <w:r w:rsidRPr="0099710A">
        <w:rPr>
          <w:lang w:val="cs-CZ"/>
        </w:rPr>
        <w:t xml:space="preserve"> profesionální asociace biliardu a </w:t>
      </w:r>
      <w:proofErr w:type="spellStart"/>
      <w:r w:rsidRPr="0099710A">
        <w:rPr>
          <w:lang w:val="cs-CZ"/>
        </w:rPr>
        <w:t>snookeru</w:t>
      </w:r>
      <w:proofErr w:type="spellEnd"/>
      <w:r w:rsidRPr="0099710A">
        <w:rPr>
          <w:lang w:val="cs-CZ"/>
        </w:rPr>
        <w:t xml:space="preserve"> (WPBSA)</w:t>
      </w:r>
      <w:r>
        <w:rPr>
          <w:lang w:val="cs-CZ"/>
        </w:rPr>
        <w:t xml:space="preserve"> z</w:t>
      </w:r>
      <w:r w:rsidR="00125859">
        <w:rPr>
          <w:lang w:val="cs-CZ"/>
        </w:rPr>
        <w:t xml:space="preserve"> porušení pravidel </w:t>
      </w:r>
      <w:r>
        <w:rPr>
          <w:lang w:val="cs-CZ"/>
        </w:rPr>
        <w:t>při sázení podle Článku 2.1 Pravidel a nařízení pro členy WPBSA. Obvinění se týkalo série sázek podaných na protivníka Hráče K na utkán</w:t>
      </w:r>
      <w:r w:rsidR="00125859">
        <w:rPr>
          <w:lang w:val="cs-CZ"/>
        </w:rPr>
        <w:t>í</w:t>
      </w:r>
      <w:r>
        <w:rPr>
          <w:lang w:val="cs-CZ"/>
        </w:rPr>
        <w:t xml:space="preserve"> v lednu 2012. Hráč K se utkání nezúčastnil kvůli zranění. Sázky </w:t>
      </w:r>
      <w:r w:rsidR="00125859">
        <w:rPr>
          <w:lang w:val="cs-CZ"/>
        </w:rPr>
        <w:t>podali</w:t>
      </w:r>
      <w:r>
        <w:rPr>
          <w:lang w:val="cs-CZ"/>
        </w:rPr>
        <w:t xml:space="preserve"> společní</w:t>
      </w:r>
      <w:r w:rsidR="00125859">
        <w:rPr>
          <w:lang w:val="cs-CZ"/>
        </w:rPr>
        <w:t>ci</w:t>
      </w:r>
      <w:r>
        <w:rPr>
          <w:lang w:val="cs-CZ"/>
        </w:rPr>
        <w:t xml:space="preserve"> Hráče K. Vzorce sázení a telekomunikační aktivita mezi </w:t>
      </w:r>
      <w:r w:rsidR="00125859">
        <w:rPr>
          <w:lang w:val="cs-CZ"/>
        </w:rPr>
        <w:t>sportovcem</w:t>
      </w:r>
      <w:r>
        <w:rPr>
          <w:lang w:val="cs-CZ"/>
        </w:rPr>
        <w:t xml:space="preserve"> a jeho společníky byly shledány</w:t>
      </w:r>
      <w:r w:rsidR="005427FB">
        <w:rPr>
          <w:lang w:val="cs-CZ"/>
        </w:rPr>
        <w:t xml:space="preserve"> </w:t>
      </w:r>
      <w:r>
        <w:rPr>
          <w:lang w:val="cs-CZ"/>
        </w:rPr>
        <w:t xml:space="preserve">podezřelými. Věc byla předána k rozhodnutí Disciplinárnímu výboru. </w:t>
      </w:r>
    </w:p>
    <w:p w:rsidR="001B0D6C" w:rsidRPr="002218FE" w:rsidRDefault="001B0D6C">
      <w:pPr>
        <w:pStyle w:val="Zkladntext"/>
        <w:rPr>
          <w:sz w:val="26"/>
          <w:lang w:val="cs-CZ"/>
        </w:rPr>
      </w:pPr>
    </w:p>
    <w:p w:rsidR="001B0D6C" w:rsidRPr="002218FE" w:rsidRDefault="001B0D6C">
      <w:pPr>
        <w:pStyle w:val="Zkladntext"/>
        <w:spacing w:before="6"/>
        <w:rPr>
          <w:sz w:val="20"/>
          <w:lang w:val="cs-CZ"/>
        </w:rPr>
      </w:pPr>
    </w:p>
    <w:p w:rsidR="001B0D6C" w:rsidRPr="002218FE" w:rsidRDefault="0099710A">
      <w:pPr>
        <w:pStyle w:val="Nadpis1"/>
        <w:rPr>
          <w:lang w:val="cs-CZ"/>
        </w:rPr>
      </w:pPr>
      <w:r>
        <w:rPr>
          <w:lang w:val="cs-CZ"/>
        </w:rPr>
        <w:t xml:space="preserve">Zdůvodnění a rozhodnutí soudu </w:t>
      </w:r>
    </w:p>
    <w:p w:rsidR="001B0D6C" w:rsidRPr="002218FE" w:rsidRDefault="001B0D6C">
      <w:pPr>
        <w:pStyle w:val="Zkladntext"/>
        <w:spacing w:before="8"/>
        <w:rPr>
          <w:b/>
          <w:sz w:val="30"/>
          <w:lang w:val="cs-CZ"/>
        </w:rPr>
      </w:pPr>
    </w:p>
    <w:p w:rsidR="001B0D6C" w:rsidRPr="002218FE" w:rsidRDefault="0099710A">
      <w:pPr>
        <w:pStyle w:val="Zkladntext"/>
        <w:spacing w:before="1" w:line="360" w:lineRule="auto"/>
        <w:ind w:left="120" w:right="117"/>
        <w:jc w:val="both"/>
        <w:rPr>
          <w:lang w:val="cs-CZ"/>
        </w:rPr>
      </w:pPr>
      <w:r>
        <w:rPr>
          <w:lang w:val="cs-CZ"/>
        </w:rPr>
        <w:t>Hráč K připustil, že vzorce sázení působí neregulérně a uznal, že by dan</w:t>
      </w:r>
      <w:r w:rsidR="00125859">
        <w:rPr>
          <w:lang w:val="cs-CZ"/>
        </w:rPr>
        <w:t>á</w:t>
      </w:r>
      <w:r>
        <w:rPr>
          <w:lang w:val="cs-CZ"/>
        </w:rPr>
        <w:t xml:space="preserve"> činnost mohla být považována za podezřelou, nicméně obvinění popřel. Uvedl, že ze sázek neměl finanční prospěch, žádné sázky nepodával a nezapojil se do ovlivňování zápasů. </w:t>
      </w:r>
    </w:p>
    <w:p w:rsidR="001B0D6C" w:rsidRPr="002218FE" w:rsidRDefault="001B0D6C">
      <w:pPr>
        <w:pStyle w:val="Zkladntext"/>
        <w:spacing w:before="7"/>
        <w:rPr>
          <w:sz w:val="19"/>
          <w:lang w:val="cs-CZ"/>
        </w:rPr>
      </w:pPr>
    </w:p>
    <w:p w:rsidR="001B0D6C" w:rsidRPr="002218FE" w:rsidRDefault="0099710A" w:rsidP="005427FB">
      <w:pPr>
        <w:pStyle w:val="Zkladntext"/>
        <w:spacing w:before="1" w:line="360" w:lineRule="auto"/>
        <w:ind w:left="120" w:right="113"/>
        <w:jc w:val="both"/>
        <w:rPr>
          <w:lang w:val="cs-CZ"/>
        </w:rPr>
      </w:pPr>
      <w:r>
        <w:rPr>
          <w:lang w:val="cs-CZ"/>
        </w:rPr>
        <w:t xml:space="preserve">Případ proti Hráči K byl založen na telekomunikační aktivitě iniciované Hráčem K během relevantního období, na samotném podání sázek a nekonzistentní argumentaci Hráče K v průběhu vyšetřování. </w:t>
      </w:r>
      <w:r w:rsidR="00DC54FF">
        <w:rPr>
          <w:lang w:val="cs-CZ"/>
        </w:rPr>
        <w:t xml:space="preserve">Dle důkazů Hráč K v příslušném období zaslal 33 textových zpráv a provedl 3 telefonní hovory s jedním společníkem, </w:t>
      </w:r>
      <w:r w:rsidR="00125859">
        <w:rPr>
          <w:lang w:val="cs-CZ"/>
        </w:rPr>
        <w:t xml:space="preserve">zatímco s druhým společníkem to bylo </w:t>
      </w:r>
      <w:r w:rsidR="00DC54FF">
        <w:rPr>
          <w:lang w:val="cs-CZ"/>
        </w:rPr>
        <w:t xml:space="preserve">42 zpráv a 1 hovor. Kontakt mezi zmíněnými osobami probíhal ve třech fázích – první fáze před zraněním Hráče K, další fáze po jeho zranění a závěrečná fáze po zahájení disciplinárních procesů v souvislosti s tímto obviněním. </w:t>
      </w:r>
    </w:p>
    <w:p w:rsidR="001B0D6C" w:rsidRPr="002218FE" w:rsidRDefault="001B0D6C">
      <w:pPr>
        <w:pStyle w:val="Zkladntext"/>
        <w:spacing w:before="8"/>
        <w:rPr>
          <w:sz w:val="19"/>
          <w:lang w:val="cs-CZ"/>
        </w:rPr>
      </w:pPr>
    </w:p>
    <w:p w:rsidR="001B0D6C" w:rsidRPr="002218FE" w:rsidRDefault="00DC54FF">
      <w:pPr>
        <w:pStyle w:val="Zkladntext"/>
        <w:spacing w:line="360" w:lineRule="auto"/>
        <w:ind w:left="119" w:right="114"/>
        <w:jc w:val="both"/>
        <w:rPr>
          <w:lang w:val="cs-CZ"/>
        </w:rPr>
      </w:pPr>
      <w:r>
        <w:rPr>
          <w:lang w:val="cs-CZ"/>
        </w:rPr>
        <w:t>Disciplinární výbor nepřijal vysvětlení, že se telekomunikační aktivita týkala zranění Hráče K, zejména protože tímto se dala vysvětlit pouze druh</w:t>
      </w:r>
      <w:r w:rsidR="000F6730">
        <w:rPr>
          <w:lang w:val="cs-CZ"/>
        </w:rPr>
        <w:t>á</w:t>
      </w:r>
      <w:r>
        <w:rPr>
          <w:lang w:val="cs-CZ"/>
        </w:rPr>
        <w:t xml:space="preserve"> a třetí fáze </w:t>
      </w:r>
      <w:r>
        <w:rPr>
          <w:lang w:val="cs-CZ"/>
        </w:rPr>
        <w:lastRenderedPageBreak/>
        <w:t>komunikace. Výbor rozhodl, že je pravděpodobn</w:t>
      </w:r>
      <w:r w:rsidR="000F6730">
        <w:rPr>
          <w:lang w:val="cs-CZ"/>
        </w:rPr>
        <w:t>ější</w:t>
      </w:r>
      <w:r>
        <w:rPr>
          <w:lang w:val="cs-CZ"/>
        </w:rPr>
        <w:t>, že chování Hráče K</w:t>
      </w:r>
      <w:r w:rsidR="000F6730">
        <w:rPr>
          <w:lang w:val="cs-CZ"/>
        </w:rPr>
        <w:t xml:space="preserve"> jako člena WPBSA </w:t>
      </w:r>
      <w:r>
        <w:rPr>
          <w:lang w:val="cs-CZ"/>
        </w:rPr>
        <w:t xml:space="preserve">představuje zjevný konflikt zájmů. Spojení objemu telekomunikační aktivity a neobvyklých vzorců sázení </w:t>
      </w:r>
      <w:r w:rsidR="00181E8E">
        <w:rPr>
          <w:lang w:val="cs-CZ"/>
        </w:rPr>
        <w:t>posouzené na základě míry pravděpodobnosti postačilo k doložení obvinění proti Hráči K. Výbor potom posoudil možnost aplikovat Článek 1.2</w:t>
      </w:r>
      <w:r>
        <w:rPr>
          <w:lang w:val="cs-CZ"/>
        </w:rPr>
        <w:t xml:space="preserve"> </w:t>
      </w:r>
      <w:r w:rsidR="00181E8E">
        <w:rPr>
          <w:lang w:val="cs-CZ"/>
        </w:rPr>
        <w:t>Pravidel a nařízení pro členy, dle něhož je za prokázané porušení ustanovení článku 2.1 stanoven doživotní zákaz činnosti.</w:t>
      </w:r>
    </w:p>
    <w:p w:rsidR="001B0D6C" w:rsidRPr="002218FE" w:rsidRDefault="001B0D6C">
      <w:pPr>
        <w:pStyle w:val="Zkladntext"/>
        <w:spacing w:before="9"/>
        <w:rPr>
          <w:sz w:val="19"/>
          <w:lang w:val="cs-CZ"/>
        </w:rPr>
      </w:pPr>
    </w:p>
    <w:p w:rsidR="00181E8E" w:rsidRDefault="00181E8E">
      <w:pPr>
        <w:pStyle w:val="Zkladntext"/>
        <w:spacing w:line="360" w:lineRule="auto"/>
        <w:ind w:left="120" w:right="116"/>
        <w:jc w:val="both"/>
        <w:rPr>
          <w:lang w:val="cs-CZ"/>
        </w:rPr>
      </w:pPr>
      <w:r>
        <w:rPr>
          <w:lang w:val="cs-CZ"/>
        </w:rPr>
        <w:t xml:space="preserve">Zástupce Hráče předložil následující argumenty ve snaze zmírnit možný doživotní zákaz: neexistenci finančního prospěchu, věk hráče a jeho postavení v žebříčku, chybějící důkazy o přímém zapojení hráče do ovlivňování zápasů. Výbor shledal, že v tomto případě je možné </w:t>
      </w:r>
      <w:r w:rsidR="003D36DD">
        <w:rPr>
          <w:lang w:val="cs-CZ"/>
        </w:rPr>
        <w:t>výjimečně</w:t>
      </w:r>
      <w:r>
        <w:rPr>
          <w:lang w:val="cs-CZ"/>
        </w:rPr>
        <w:t xml:space="preserve"> uplatnit zmír</w:t>
      </w:r>
      <w:r w:rsidR="003D36DD">
        <w:rPr>
          <w:lang w:val="cs-CZ"/>
        </w:rPr>
        <w:t xml:space="preserve">ňující skutečnosti a nevyměřil doživotní zákaz. Hráči K byla zakázána sportovní činnost do konce Mistrovství světa 2014 a dostal příkaz uhradit náklady ve výši 2 000 USD. </w:t>
      </w:r>
    </w:p>
    <w:p w:rsidR="001B0D6C" w:rsidRPr="002218FE" w:rsidRDefault="001B0D6C">
      <w:pPr>
        <w:pStyle w:val="Zkladntext"/>
        <w:spacing w:line="360" w:lineRule="auto"/>
        <w:ind w:left="120" w:right="116"/>
        <w:jc w:val="both"/>
        <w:rPr>
          <w:lang w:val="cs-CZ"/>
        </w:rPr>
      </w:pPr>
    </w:p>
    <w:p w:rsidR="001B0D6C" w:rsidRPr="002218FE" w:rsidRDefault="001B0D6C">
      <w:pPr>
        <w:pStyle w:val="Zkladntext"/>
        <w:rPr>
          <w:sz w:val="26"/>
          <w:lang w:val="cs-CZ"/>
        </w:rPr>
      </w:pPr>
    </w:p>
    <w:p w:rsidR="001B0D6C" w:rsidRPr="002218FE" w:rsidRDefault="003D36DD">
      <w:pPr>
        <w:pStyle w:val="Nadpis1"/>
        <w:rPr>
          <w:lang w:val="cs-CZ"/>
        </w:rPr>
      </w:pPr>
      <w:r>
        <w:rPr>
          <w:lang w:val="cs-CZ"/>
        </w:rPr>
        <w:t xml:space="preserve">Poučení </w:t>
      </w:r>
    </w:p>
    <w:p w:rsidR="001B0D6C" w:rsidRPr="002218FE" w:rsidRDefault="001B0D6C">
      <w:pPr>
        <w:pStyle w:val="Zkladntext"/>
        <w:spacing w:before="9"/>
        <w:rPr>
          <w:b/>
          <w:sz w:val="30"/>
          <w:lang w:val="cs-CZ"/>
        </w:rPr>
      </w:pPr>
    </w:p>
    <w:p w:rsidR="003D36DD" w:rsidRDefault="003D36DD">
      <w:pPr>
        <w:pStyle w:val="Odstavecseseznamem"/>
        <w:numPr>
          <w:ilvl w:val="0"/>
          <w:numId w:val="1"/>
        </w:numPr>
        <w:tabs>
          <w:tab w:val="left" w:pos="841"/>
        </w:tabs>
        <w:spacing w:line="357" w:lineRule="auto"/>
        <w:ind w:hanging="360"/>
        <w:rPr>
          <w:lang w:val="cs-CZ"/>
        </w:rPr>
      </w:pPr>
      <w:r>
        <w:rPr>
          <w:lang w:val="cs-CZ"/>
        </w:rPr>
        <w:t>Zvýšení dohledu nad sportovním sázením v kombinac</w:t>
      </w:r>
      <w:r w:rsidR="000F6730">
        <w:rPr>
          <w:lang w:val="cs-CZ"/>
        </w:rPr>
        <w:t>i</w:t>
      </w:r>
      <w:r>
        <w:rPr>
          <w:lang w:val="cs-CZ"/>
        </w:rPr>
        <w:t xml:space="preserve"> s postupy sázkařských kancelář</w:t>
      </w:r>
      <w:r w:rsidR="000F6730">
        <w:rPr>
          <w:lang w:val="cs-CZ"/>
        </w:rPr>
        <w:t xml:space="preserve">í na </w:t>
      </w:r>
      <w:r>
        <w:rPr>
          <w:lang w:val="cs-CZ"/>
        </w:rPr>
        <w:t xml:space="preserve">monitorování sázek znamená, že sportovcům hrozí riziko zákazů činnosti na podstatnou dobu, pokud se u nich zjistí porušení pravidel sázení. </w:t>
      </w:r>
    </w:p>
    <w:p w:rsidR="001B0D6C" w:rsidRPr="002218FE" w:rsidRDefault="001B0D6C" w:rsidP="005427FB">
      <w:pPr>
        <w:pStyle w:val="Odstavecseseznamem"/>
        <w:tabs>
          <w:tab w:val="left" w:pos="841"/>
        </w:tabs>
        <w:spacing w:line="357" w:lineRule="auto"/>
        <w:ind w:firstLine="0"/>
        <w:rPr>
          <w:lang w:val="cs-CZ"/>
        </w:rPr>
      </w:pPr>
    </w:p>
    <w:sectPr w:rsidR="001B0D6C" w:rsidRPr="002218FE">
      <w:pgSz w:w="11910" w:h="16840"/>
      <w:pgMar w:top="134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13493"/>
    <w:multiLevelType w:val="hybridMultilevel"/>
    <w:tmpl w:val="63CCE0FE"/>
    <w:lvl w:ilvl="0" w:tplc="EFDC748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59E8B8C">
      <w:numFmt w:val="bullet"/>
      <w:lvlText w:val="•"/>
      <w:lvlJc w:val="left"/>
      <w:pPr>
        <w:ind w:left="1682" w:hanging="361"/>
      </w:pPr>
      <w:rPr>
        <w:rFonts w:hint="default"/>
        <w:lang w:val="en-GB" w:eastAsia="en-GB" w:bidi="en-GB"/>
      </w:rPr>
    </w:lvl>
    <w:lvl w:ilvl="2" w:tplc="15828C10">
      <w:numFmt w:val="bullet"/>
      <w:lvlText w:val="•"/>
      <w:lvlJc w:val="left"/>
      <w:pPr>
        <w:ind w:left="2525" w:hanging="361"/>
      </w:pPr>
      <w:rPr>
        <w:rFonts w:hint="default"/>
        <w:lang w:val="en-GB" w:eastAsia="en-GB" w:bidi="en-GB"/>
      </w:rPr>
    </w:lvl>
    <w:lvl w:ilvl="3" w:tplc="DDB4DF7C">
      <w:numFmt w:val="bullet"/>
      <w:lvlText w:val="•"/>
      <w:lvlJc w:val="left"/>
      <w:pPr>
        <w:ind w:left="3367" w:hanging="361"/>
      </w:pPr>
      <w:rPr>
        <w:rFonts w:hint="default"/>
        <w:lang w:val="en-GB" w:eastAsia="en-GB" w:bidi="en-GB"/>
      </w:rPr>
    </w:lvl>
    <w:lvl w:ilvl="4" w:tplc="45485EDC">
      <w:numFmt w:val="bullet"/>
      <w:lvlText w:val="•"/>
      <w:lvlJc w:val="left"/>
      <w:pPr>
        <w:ind w:left="4210" w:hanging="361"/>
      </w:pPr>
      <w:rPr>
        <w:rFonts w:hint="default"/>
        <w:lang w:val="en-GB" w:eastAsia="en-GB" w:bidi="en-GB"/>
      </w:rPr>
    </w:lvl>
    <w:lvl w:ilvl="5" w:tplc="AD62FB64">
      <w:numFmt w:val="bullet"/>
      <w:lvlText w:val="•"/>
      <w:lvlJc w:val="left"/>
      <w:pPr>
        <w:ind w:left="5053" w:hanging="361"/>
      </w:pPr>
      <w:rPr>
        <w:rFonts w:hint="default"/>
        <w:lang w:val="en-GB" w:eastAsia="en-GB" w:bidi="en-GB"/>
      </w:rPr>
    </w:lvl>
    <w:lvl w:ilvl="6" w:tplc="CFC2BCBA">
      <w:numFmt w:val="bullet"/>
      <w:lvlText w:val="•"/>
      <w:lvlJc w:val="left"/>
      <w:pPr>
        <w:ind w:left="5895" w:hanging="361"/>
      </w:pPr>
      <w:rPr>
        <w:rFonts w:hint="default"/>
        <w:lang w:val="en-GB" w:eastAsia="en-GB" w:bidi="en-GB"/>
      </w:rPr>
    </w:lvl>
    <w:lvl w:ilvl="7" w:tplc="D6003AC2">
      <w:numFmt w:val="bullet"/>
      <w:lvlText w:val="•"/>
      <w:lvlJc w:val="left"/>
      <w:pPr>
        <w:ind w:left="6738" w:hanging="361"/>
      </w:pPr>
      <w:rPr>
        <w:rFonts w:hint="default"/>
        <w:lang w:val="en-GB" w:eastAsia="en-GB" w:bidi="en-GB"/>
      </w:rPr>
    </w:lvl>
    <w:lvl w:ilvl="8" w:tplc="86ECB222">
      <w:numFmt w:val="bullet"/>
      <w:lvlText w:val="•"/>
      <w:lvlJc w:val="left"/>
      <w:pPr>
        <w:ind w:left="7581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6C"/>
    <w:rsid w:val="000F6730"/>
    <w:rsid w:val="00125859"/>
    <w:rsid w:val="001616B4"/>
    <w:rsid w:val="00181E8E"/>
    <w:rsid w:val="001B0D6C"/>
    <w:rsid w:val="002218FE"/>
    <w:rsid w:val="003D36DD"/>
    <w:rsid w:val="005142F6"/>
    <w:rsid w:val="005427FB"/>
    <w:rsid w:val="007A71D1"/>
    <w:rsid w:val="0099710A"/>
    <w:rsid w:val="00A572C8"/>
    <w:rsid w:val="00A90DEF"/>
    <w:rsid w:val="00DC54FF"/>
    <w:rsid w:val="00E6699F"/>
    <w:rsid w:val="00F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C265B-3C89-4218-B074-A28F1CE0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40" w:right="11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258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859"/>
    <w:rPr>
      <w:rFonts w:ascii="Segoe UI" w:eastAsia="Verdana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London2012</dc:creator>
  <cp:lastModifiedBy>Irena Vicarova</cp:lastModifiedBy>
  <cp:revision>7</cp:revision>
  <dcterms:created xsi:type="dcterms:W3CDTF">2019-01-03T10:59:00Z</dcterms:created>
  <dcterms:modified xsi:type="dcterms:W3CDTF">2019-01-20T13:10:00Z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2018-10-12T00:00:00Z</vt:filetime>
  </property>
</Properties>
</file>