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ECB" w:rsidRDefault="003D6ECB" w:rsidP="00C7199E">
      <w:pPr>
        <w:pStyle w:val="Zkladntext"/>
        <w:spacing w:before="32" w:line="254" w:lineRule="auto"/>
        <w:ind w:right="145"/>
        <w:jc w:val="right"/>
        <w:rPr>
          <w:rFonts w:ascii="Arial"/>
          <w:w w:val="90"/>
          <w:lang w:val="cs-CZ"/>
        </w:rPr>
      </w:pPr>
      <w:r>
        <w:rPr>
          <w:rFonts w:ascii="Arial"/>
          <w:w w:val="90"/>
          <w:lang w:val="cs-CZ"/>
        </w:rPr>
        <w:t>Rozhodnut</w:t>
      </w:r>
      <w:r>
        <w:rPr>
          <w:rFonts w:ascii="Arial"/>
          <w:w w:val="90"/>
          <w:lang w:val="cs-CZ"/>
        </w:rPr>
        <w:t>í</w:t>
      </w:r>
      <w:r>
        <w:rPr>
          <w:rFonts w:ascii="Arial"/>
          <w:w w:val="90"/>
          <w:lang w:val="cs-CZ"/>
        </w:rPr>
        <w:t xml:space="preserve"> Sportovn</w:t>
      </w:r>
      <w:r>
        <w:rPr>
          <w:rFonts w:ascii="Arial"/>
          <w:w w:val="90"/>
          <w:lang w:val="cs-CZ"/>
        </w:rPr>
        <w:t>í</w:t>
      </w:r>
      <w:r>
        <w:rPr>
          <w:rFonts w:ascii="Arial"/>
          <w:w w:val="90"/>
          <w:lang w:val="cs-CZ"/>
        </w:rPr>
        <w:t xml:space="preserve">ho panelu pro </w:t>
      </w:r>
      <w:r>
        <w:rPr>
          <w:rFonts w:ascii="Arial"/>
          <w:w w:val="90"/>
          <w:lang w:val="cs-CZ"/>
        </w:rPr>
        <w:t>ř</w:t>
      </w:r>
      <w:r>
        <w:rPr>
          <w:rFonts w:ascii="Arial"/>
          <w:w w:val="90"/>
          <w:lang w:val="cs-CZ"/>
        </w:rPr>
        <w:t>e</w:t>
      </w:r>
      <w:r>
        <w:rPr>
          <w:rFonts w:ascii="Arial"/>
          <w:w w:val="90"/>
          <w:lang w:val="cs-CZ"/>
        </w:rPr>
        <w:t>š</w:t>
      </w:r>
      <w:r>
        <w:rPr>
          <w:rFonts w:ascii="Arial"/>
          <w:w w:val="90"/>
          <w:lang w:val="cs-CZ"/>
        </w:rPr>
        <w:t>en</w:t>
      </w:r>
      <w:r>
        <w:rPr>
          <w:rFonts w:ascii="Arial"/>
          <w:w w:val="90"/>
          <w:lang w:val="cs-CZ"/>
        </w:rPr>
        <w:t>í</w:t>
      </w:r>
      <w:r>
        <w:rPr>
          <w:rFonts w:ascii="Arial"/>
          <w:w w:val="90"/>
          <w:lang w:val="cs-CZ"/>
        </w:rPr>
        <w:t xml:space="preserve"> spor</w:t>
      </w:r>
      <w:r>
        <w:rPr>
          <w:rFonts w:ascii="Arial"/>
          <w:w w:val="90"/>
          <w:lang w:val="cs-CZ"/>
        </w:rPr>
        <w:t>ů</w:t>
      </w:r>
      <w:r>
        <w:rPr>
          <w:rFonts w:ascii="Arial"/>
          <w:w w:val="90"/>
          <w:lang w:val="cs-CZ"/>
        </w:rPr>
        <w:t xml:space="preserve"> (</w:t>
      </w:r>
      <w:r>
        <w:rPr>
          <w:rFonts w:ascii="Arial"/>
          <w:w w:val="90"/>
          <w:lang w:val="cs-CZ"/>
        </w:rPr>
        <w:t>č</w:t>
      </w:r>
      <w:r>
        <w:rPr>
          <w:rFonts w:ascii="Arial"/>
          <w:w w:val="90"/>
          <w:lang w:val="cs-CZ"/>
        </w:rPr>
        <w:t xml:space="preserve">ervenec </w:t>
      </w:r>
      <w:r w:rsidR="00353FE7" w:rsidRPr="00085097">
        <w:rPr>
          <w:rFonts w:ascii="Arial"/>
          <w:w w:val="90"/>
          <w:lang w:val="cs-CZ"/>
        </w:rPr>
        <w:t xml:space="preserve">2007) </w:t>
      </w:r>
    </w:p>
    <w:p w:rsidR="00D607F3" w:rsidRPr="00085097" w:rsidRDefault="003D6ECB" w:rsidP="00C7199E">
      <w:pPr>
        <w:pStyle w:val="Zkladntext"/>
        <w:spacing w:before="32" w:line="254" w:lineRule="auto"/>
        <w:ind w:left="4279" w:right="145" w:firstLine="194"/>
        <w:jc w:val="right"/>
        <w:rPr>
          <w:rFonts w:ascii="Arial"/>
          <w:lang w:val="cs-CZ"/>
        </w:rPr>
      </w:pPr>
      <w:r>
        <w:rPr>
          <w:rFonts w:ascii="Arial"/>
          <w:w w:val="90"/>
          <w:lang w:val="cs-CZ"/>
        </w:rPr>
        <w:t>Kr</w:t>
      </w:r>
      <w:r>
        <w:rPr>
          <w:rFonts w:ascii="Arial"/>
          <w:w w:val="90"/>
          <w:lang w:val="cs-CZ"/>
        </w:rPr>
        <w:t>á</w:t>
      </w:r>
      <w:r>
        <w:rPr>
          <w:rFonts w:ascii="Arial"/>
          <w:w w:val="90"/>
          <w:lang w:val="cs-CZ"/>
        </w:rPr>
        <w:t>lovsk</w:t>
      </w:r>
      <w:r>
        <w:rPr>
          <w:rFonts w:ascii="Arial"/>
          <w:w w:val="90"/>
          <w:lang w:val="cs-CZ"/>
        </w:rPr>
        <w:t>á</w:t>
      </w:r>
      <w:r>
        <w:rPr>
          <w:rFonts w:ascii="Arial"/>
          <w:w w:val="90"/>
          <w:lang w:val="cs-CZ"/>
        </w:rPr>
        <w:t xml:space="preserve"> asociace jachtingu v</w:t>
      </w:r>
      <w:r>
        <w:rPr>
          <w:rFonts w:ascii="Arial"/>
          <w:w w:val="90"/>
          <w:lang w:val="cs-CZ"/>
        </w:rPr>
        <w:t> Č</w:t>
      </w:r>
      <w:r>
        <w:rPr>
          <w:rFonts w:ascii="Arial"/>
          <w:w w:val="90"/>
          <w:lang w:val="cs-CZ"/>
        </w:rPr>
        <w:t xml:space="preserve">len E a </w:t>
      </w:r>
      <w:r>
        <w:rPr>
          <w:rFonts w:ascii="Arial"/>
          <w:w w:val="90"/>
          <w:lang w:val="cs-CZ"/>
        </w:rPr>
        <w:t>Č</w:t>
      </w:r>
      <w:r>
        <w:rPr>
          <w:rFonts w:ascii="Arial"/>
          <w:w w:val="90"/>
          <w:lang w:val="cs-CZ"/>
        </w:rPr>
        <w:t xml:space="preserve">len F </w:t>
      </w:r>
    </w:p>
    <w:p w:rsidR="00D607F3" w:rsidRPr="00085097" w:rsidRDefault="00D607F3">
      <w:pPr>
        <w:pStyle w:val="Zkladntext"/>
        <w:rPr>
          <w:rFonts w:ascii="Arial"/>
          <w:sz w:val="20"/>
          <w:lang w:val="cs-CZ"/>
        </w:rPr>
      </w:pPr>
    </w:p>
    <w:p w:rsidR="00D607F3" w:rsidRPr="00085097" w:rsidRDefault="00D607F3">
      <w:pPr>
        <w:pStyle w:val="Zkladntext"/>
        <w:spacing w:before="9"/>
        <w:rPr>
          <w:rFonts w:ascii="Arial"/>
          <w:sz w:val="17"/>
          <w:lang w:val="cs-CZ"/>
        </w:rPr>
      </w:pPr>
    </w:p>
    <w:p w:rsidR="00D607F3" w:rsidRPr="00085097" w:rsidRDefault="00085097">
      <w:pPr>
        <w:spacing w:before="101"/>
        <w:ind w:left="2440"/>
        <w:rPr>
          <w:b/>
          <w:sz w:val="28"/>
          <w:lang w:val="cs-CZ"/>
        </w:rPr>
      </w:pPr>
      <w:r>
        <w:rPr>
          <w:b/>
          <w:sz w:val="28"/>
          <w:lang w:val="cs-CZ"/>
        </w:rPr>
        <w:t xml:space="preserve">Případ č. 38 – Závažné </w:t>
      </w:r>
      <w:r w:rsidR="003D6ECB">
        <w:rPr>
          <w:b/>
          <w:sz w:val="28"/>
          <w:lang w:val="cs-CZ"/>
        </w:rPr>
        <w:t>porušení pravidel</w:t>
      </w:r>
      <w:r>
        <w:rPr>
          <w:b/>
          <w:sz w:val="28"/>
          <w:lang w:val="cs-CZ"/>
        </w:rPr>
        <w:t xml:space="preserve"> </w:t>
      </w:r>
    </w:p>
    <w:p w:rsidR="00D607F3" w:rsidRPr="00085097" w:rsidRDefault="00D607F3">
      <w:pPr>
        <w:pStyle w:val="Zkladntext"/>
        <w:rPr>
          <w:b/>
          <w:sz w:val="20"/>
          <w:lang w:val="cs-CZ"/>
        </w:rPr>
      </w:pPr>
    </w:p>
    <w:p w:rsidR="00D607F3" w:rsidRPr="00085097" w:rsidRDefault="00D607F3">
      <w:pPr>
        <w:pStyle w:val="Zkladntext"/>
        <w:rPr>
          <w:b/>
          <w:sz w:val="20"/>
          <w:lang w:val="cs-CZ"/>
        </w:rPr>
      </w:pPr>
    </w:p>
    <w:p w:rsidR="00D607F3" w:rsidRPr="00085097" w:rsidRDefault="00D607F3">
      <w:pPr>
        <w:pStyle w:val="Zkladntext"/>
        <w:spacing w:before="6"/>
        <w:rPr>
          <w:b/>
          <w:lang w:val="cs-CZ"/>
        </w:rPr>
      </w:pPr>
    </w:p>
    <w:p w:rsidR="00D607F3" w:rsidRPr="00085097" w:rsidRDefault="00085097">
      <w:pPr>
        <w:pStyle w:val="Nadpis1"/>
        <w:rPr>
          <w:lang w:val="cs-CZ"/>
        </w:rPr>
      </w:pPr>
      <w:r>
        <w:rPr>
          <w:lang w:val="cs-CZ"/>
        </w:rPr>
        <w:t xml:space="preserve">Klíčová slova </w:t>
      </w:r>
    </w:p>
    <w:p w:rsidR="00D607F3" w:rsidRPr="00085097" w:rsidRDefault="00D607F3">
      <w:pPr>
        <w:pStyle w:val="Zkladntext"/>
        <w:spacing w:before="8"/>
        <w:rPr>
          <w:b/>
          <w:sz w:val="30"/>
          <w:lang w:val="cs-CZ"/>
        </w:rPr>
      </w:pPr>
    </w:p>
    <w:p w:rsidR="00D607F3" w:rsidRPr="00085097" w:rsidRDefault="00085097" w:rsidP="00C7199E">
      <w:pPr>
        <w:ind w:left="120"/>
        <w:jc w:val="both"/>
        <w:rPr>
          <w:i/>
          <w:lang w:val="cs-CZ"/>
        </w:rPr>
      </w:pPr>
      <w:r>
        <w:rPr>
          <w:i/>
          <w:lang w:val="cs-CZ"/>
        </w:rPr>
        <w:t xml:space="preserve">Opakované slyšení; Přirozená spravedlnost; Nezávislý odvolací proces; Sabotáž; </w:t>
      </w:r>
      <w:r w:rsidRPr="00C7199E">
        <w:rPr>
          <w:i/>
          <w:color w:val="0070C0"/>
          <w:lang w:val="cs-CZ"/>
        </w:rPr>
        <w:t xml:space="preserve">Férový sport – spravedlnost a férovost  </w:t>
      </w:r>
    </w:p>
    <w:p w:rsidR="00D607F3" w:rsidRPr="00085097" w:rsidRDefault="00D607F3">
      <w:pPr>
        <w:pStyle w:val="Zkladntext"/>
        <w:rPr>
          <w:i/>
          <w:sz w:val="26"/>
          <w:lang w:val="cs-CZ"/>
        </w:rPr>
      </w:pPr>
    </w:p>
    <w:p w:rsidR="00D607F3" w:rsidRPr="00085097" w:rsidRDefault="00D607F3">
      <w:pPr>
        <w:pStyle w:val="Zkladntext"/>
        <w:rPr>
          <w:i/>
          <w:sz w:val="26"/>
          <w:lang w:val="cs-CZ"/>
        </w:rPr>
      </w:pPr>
    </w:p>
    <w:p w:rsidR="00D607F3" w:rsidRPr="00085097" w:rsidRDefault="00D607F3">
      <w:pPr>
        <w:pStyle w:val="Zkladntext"/>
        <w:spacing w:before="2"/>
        <w:rPr>
          <w:i/>
          <w:sz w:val="21"/>
          <w:lang w:val="cs-CZ"/>
        </w:rPr>
      </w:pPr>
    </w:p>
    <w:p w:rsidR="00D607F3" w:rsidRPr="00085097" w:rsidRDefault="00353FE7">
      <w:pPr>
        <w:pStyle w:val="Nadpis1"/>
        <w:rPr>
          <w:lang w:val="cs-CZ"/>
        </w:rPr>
      </w:pPr>
      <w:r w:rsidRPr="00085097">
        <w:rPr>
          <w:lang w:val="cs-CZ"/>
        </w:rPr>
        <w:t>S</w:t>
      </w:r>
      <w:r w:rsidR="00085097">
        <w:rPr>
          <w:lang w:val="cs-CZ"/>
        </w:rPr>
        <w:t xml:space="preserve">hrnutí </w:t>
      </w:r>
    </w:p>
    <w:p w:rsidR="00D607F3" w:rsidRPr="00085097" w:rsidRDefault="00D607F3">
      <w:pPr>
        <w:pStyle w:val="Zkladntext"/>
        <w:spacing w:before="9"/>
        <w:rPr>
          <w:b/>
          <w:sz w:val="30"/>
          <w:lang w:val="cs-CZ"/>
        </w:rPr>
      </w:pPr>
    </w:p>
    <w:p w:rsidR="00D607F3" w:rsidRPr="00085097" w:rsidRDefault="004F1162" w:rsidP="00C7199E">
      <w:pPr>
        <w:pStyle w:val="Zkladntext"/>
        <w:spacing w:line="360" w:lineRule="auto"/>
        <w:ind w:left="119" w:right="156"/>
        <w:jc w:val="both"/>
        <w:rPr>
          <w:sz w:val="26"/>
          <w:lang w:val="cs-CZ"/>
        </w:rPr>
      </w:pPr>
      <w:r>
        <w:rPr>
          <w:lang w:val="cs-CZ"/>
        </w:rPr>
        <w:t>Strany se dohodly na opakovaném slyšení ve věci původně projednané Dis</w:t>
      </w:r>
      <w:r w:rsidR="0020435C">
        <w:rPr>
          <w:lang w:val="cs-CZ"/>
        </w:rPr>
        <w:t xml:space="preserve">ciplinárním panelem Královské asociace jachtingu (RYA), kde byla dvěma členům závodního teamu odebrána licence a vysloven zákaz licenci držet na období pěti let za závažné porušení pravidel sportovního chování </w:t>
      </w:r>
      <w:r w:rsidR="00C7199E">
        <w:rPr>
          <w:lang w:val="cs-CZ"/>
        </w:rPr>
        <w:t xml:space="preserve">kvůli </w:t>
      </w:r>
      <w:r w:rsidR="0020435C">
        <w:rPr>
          <w:lang w:val="cs-CZ"/>
        </w:rPr>
        <w:t xml:space="preserve">sabotáží soupeřící lodi. </w:t>
      </w:r>
      <w:r w:rsidR="008C41AF">
        <w:rPr>
          <w:lang w:val="cs-CZ"/>
        </w:rPr>
        <w:t xml:space="preserve">Strany se dohodly na opakovaném slyšení v souladu s Arbitrážními pravidly Sport </w:t>
      </w:r>
      <w:proofErr w:type="spellStart"/>
      <w:r w:rsidR="008C41AF">
        <w:rPr>
          <w:lang w:val="cs-CZ"/>
        </w:rPr>
        <w:t>Resolutions</w:t>
      </w:r>
      <w:proofErr w:type="spellEnd"/>
      <w:r w:rsidR="008C41AF">
        <w:rPr>
          <w:lang w:val="cs-CZ"/>
        </w:rPr>
        <w:t xml:space="preserve"> poté, co Odvolací výbor RYA identifikoval několik vad v postupech Disciplinárního panelu a rozhodl, že Panel neměl jurisdikci odvolání projednávat</w:t>
      </w:r>
      <w:r w:rsidR="0020769A">
        <w:rPr>
          <w:lang w:val="cs-CZ"/>
        </w:rPr>
        <w:t xml:space="preserve">, jelikož jeho pravomoci jsou omezeny na posuzování otázek týkajících se interpretace pravidel. Arbitr předsedající opakovanému slyšení rozhodl, že členové teamu byli společně zodpovědní za sabotáž a potvrdil jim diskvalifikaci k držení licence na období pěti let. </w:t>
      </w:r>
    </w:p>
    <w:p w:rsidR="00D607F3" w:rsidRPr="00085097" w:rsidRDefault="00D607F3">
      <w:pPr>
        <w:pStyle w:val="Zkladntext"/>
        <w:rPr>
          <w:sz w:val="26"/>
          <w:lang w:val="cs-CZ"/>
        </w:rPr>
      </w:pPr>
    </w:p>
    <w:p w:rsidR="00D607F3" w:rsidRPr="00085097" w:rsidRDefault="00D607F3">
      <w:pPr>
        <w:pStyle w:val="Zkladntext"/>
        <w:spacing w:before="7"/>
        <w:rPr>
          <w:sz w:val="20"/>
          <w:lang w:val="cs-CZ"/>
        </w:rPr>
      </w:pPr>
    </w:p>
    <w:p w:rsidR="00D607F3" w:rsidRPr="00085097" w:rsidRDefault="0020769A">
      <w:pPr>
        <w:pStyle w:val="Nadpis1"/>
        <w:jc w:val="left"/>
        <w:rPr>
          <w:lang w:val="cs-CZ"/>
        </w:rPr>
      </w:pPr>
      <w:r>
        <w:rPr>
          <w:lang w:val="cs-CZ"/>
        </w:rPr>
        <w:t xml:space="preserve">Kontext </w:t>
      </w:r>
    </w:p>
    <w:p w:rsidR="00D607F3" w:rsidRPr="00085097" w:rsidRDefault="00D607F3">
      <w:pPr>
        <w:pStyle w:val="Zkladntext"/>
        <w:spacing w:before="9"/>
        <w:rPr>
          <w:b/>
          <w:sz w:val="30"/>
          <w:lang w:val="cs-CZ"/>
        </w:rPr>
      </w:pPr>
    </w:p>
    <w:p w:rsidR="00D607F3" w:rsidRPr="00085097" w:rsidRDefault="0020769A" w:rsidP="00C7199E">
      <w:pPr>
        <w:pStyle w:val="Zkladntext"/>
        <w:spacing w:line="360" w:lineRule="auto"/>
        <w:ind w:left="120" w:right="155"/>
        <w:jc w:val="both"/>
        <w:rPr>
          <w:sz w:val="26"/>
          <w:lang w:val="cs-CZ"/>
        </w:rPr>
      </w:pPr>
      <w:r>
        <w:rPr>
          <w:lang w:val="cs-CZ"/>
        </w:rPr>
        <w:t xml:space="preserve">RYA vypověděla, že se dva členové závodního teamu (Člen E a Člen F) dopustili závažného </w:t>
      </w:r>
      <w:r w:rsidR="003D6ECB">
        <w:rPr>
          <w:lang w:val="cs-CZ"/>
        </w:rPr>
        <w:t>porušení pravidel</w:t>
      </w:r>
      <w:r>
        <w:rPr>
          <w:lang w:val="cs-CZ"/>
        </w:rPr>
        <w:t xml:space="preserve"> tím, že se spolčili k sabotáži soupeřící lodě, aby se pomstili za incident v předchozím závodě. Člen E, lodivod, napumpoval uprostřed noci do nádrže soupeřící lodě 70 litrů vody; tento incident </w:t>
      </w:r>
      <w:r w:rsidR="00E83B7E">
        <w:rPr>
          <w:lang w:val="cs-CZ"/>
        </w:rPr>
        <w:t>byl zaznamenán</w:t>
      </w:r>
      <w:r>
        <w:rPr>
          <w:lang w:val="cs-CZ"/>
        </w:rPr>
        <w:t xml:space="preserve"> bezpečnostní kamer</w:t>
      </w:r>
      <w:r w:rsidR="00E83B7E">
        <w:rPr>
          <w:lang w:val="cs-CZ"/>
        </w:rPr>
        <w:t>ou</w:t>
      </w:r>
      <w:r>
        <w:rPr>
          <w:lang w:val="cs-CZ"/>
        </w:rPr>
        <w:t>.</w:t>
      </w:r>
    </w:p>
    <w:p w:rsidR="00D607F3" w:rsidRPr="00085097" w:rsidRDefault="00D607F3">
      <w:pPr>
        <w:pStyle w:val="Zkladntext"/>
        <w:rPr>
          <w:sz w:val="26"/>
          <w:lang w:val="cs-CZ"/>
        </w:rPr>
      </w:pPr>
    </w:p>
    <w:p w:rsidR="00C7199E" w:rsidRDefault="00C7199E" w:rsidP="00C7199E">
      <w:pPr>
        <w:pStyle w:val="Nadpis1"/>
        <w:ind w:left="0"/>
        <w:rPr>
          <w:lang w:val="cs-CZ"/>
        </w:rPr>
      </w:pPr>
    </w:p>
    <w:p w:rsidR="00D607F3" w:rsidRPr="00085097" w:rsidRDefault="00C7199E" w:rsidP="00C7199E">
      <w:pPr>
        <w:pStyle w:val="Nadpis1"/>
        <w:ind w:left="0"/>
        <w:rPr>
          <w:lang w:val="cs-CZ"/>
        </w:rPr>
        <w:sectPr w:rsidR="00D607F3" w:rsidRPr="00085097">
          <w:type w:val="continuous"/>
          <w:pgSz w:w="11910" w:h="16840"/>
          <w:pgMar w:top="660" w:right="1280" w:bottom="280" w:left="1320" w:header="708" w:footer="708" w:gutter="0"/>
          <w:cols w:space="708"/>
        </w:sectPr>
      </w:pPr>
      <w:r>
        <w:rPr>
          <w:lang w:val="cs-CZ"/>
        </w:rPr>
        <w:t>Z</w:t>
      </w:r>
      <w:r w:rsidR="0020769A">
        <w:rPr>
          <w:lang w:val="cs-CZ"/>
        </w:rPr>
        <w:t xml:space="preserve">důvodnění a rozhodnutí soudu </w:t>
      </w:r>
    </w:p>
    <w:p w:rsidR="0020769A" w:rsidRDefault="0020769A" w:rsidP="00C7199E">
      <w:pPr>
        <w:pStyle w:val="Zkladntext"/>
        <w:spacing w:before="81" w:line="360" w:lineRule="auto"/>
        <w:ind w:right="156"/>
        <w:jc w:val="both"/>
        <w:rPr>
          <w:lang w:val="cs-CZ"/>
        </w:rPr>
      </w:pPr>
      <w:r>
        <w:rPr>
          <w:lang w:val="cs-CZ"/>
        </w:rPr>
        <w:lastRenderedPageBreak/>
        <w:t xml:space="preserve">Člen E svůj podíl na sabotáži přiznal poté, co byl informován, že incident zachytila bezpečnostní kamera. Tvrdil nicméně, že jednal sám a </w:t>
      </w:r>
      <w:r w:rsidR="005A52B4">
        <w:rPr>
          <w:lang w:val="cs-CZ"/>
        </w:rPr>
        <w:t xml:space="preserve">v okamžitém pohnutí mysli pod vlivem alkoholu. Člen F, majitel lodi a navigátor, tvrdil, že na sabotáži nemá žádný podíl a že o tom, co se stalo, nevěděl až do skončení závodu další den, kdy se dozvěděl, že se soupeřící lodi nepodařilo dostat přes startovní čáru. </w:t>
      </w:r>
      <w:r w:rsidR="00F873C9">
        <w:rPr>
          <w:lang w:val="cs-CZ"/>
        </w:rPr>
        <w:t xml:space="preserve">Rovněž tvrdil, že podle pravidel RYA není možné aplikovat sankce na team kvůli jednání jednotlivého člena teamu. Oba členové teamu také tvrdili, že by opakované slyšení nemělo pokračovat, jelikož postup Disciplinárního panelu porušoval pravidla přirozené spravedlnosti (např. přeložení důkazů Disciplinárnímu panelu, aniž by byla přítomna osoba, jíž se důkazy týkají, a měla příležitost se k nim vyjádřit) a byl tím pádem dle zákona neplatný. Dále </w:t>
      </w:r>
      <w:r w:rsidR="008724FE">
        <w:rPr>
          <w:lang w:val="cs-CZ"/>
        </w:rPr>
        <w:t xml:space="preserve">uvedli, že rozhodnutí Odvolacího výboru mělo účinek zrušit rozhodnutí Disciplinárního panelu a že RYA neměla pravomoc znovu svolat Disciplinární panel, jelikož již vypršela </w:t>
      </w:r>
      <w:r w:rsidR="00E83B7E">
        <w:rPr>
          <w:lang w:val="cs-CZ"/>
        </w:rPr>
        <w:t xml:space="preserve">pravidly stanovená </w:t>
      </w:r>
      <w:r w:rsidR="008724FE">
        <w:rPr>
          <w:lang w:val="cs-CZ"/>
        </w:rPr>
        <w:t xml:space="preserve">lhůta, kdy tak bylo možné učinit. </w:t>
      </w:r>
    </w:p>
    <w:p w:rsidR="00D607F3" w:rsidRPr="00085097" w:rsidRDefault="00D607F3">
      <w:pPr>
        <w:pStyle w:val="Zkladntext"/>
        <w:spacing w:before="9"/>
        <w:rPr>
          <w:sz w:val="19"/>
          <w:lang w:val="cs-CZ"/>
        </w:rPr>
      </w:pPr>
    </w:p>
    <w:p w:rsidR="00D607F3" w:rsidRPr="00085097" w:rsidRDefault="008724FE" w:rsidP="00C7199E">
      <w:pPr>
        <w:pStyle w:val="Zkladntext"/>
        <w:spacing w:line="360" w:lineRule="auto"/>
        <w:ind w:right="154"/>
        <w:jc w:val="both"/>
        <w:rPr>
          <w:lang w:val="cs-CZ"/>
        </w:rPr>
      </w:pPr>
      <w:r>
        <w:rPr>
          <w:lang w:val="cs-CZ"/>
        </w:rPr>
        <w:t xml:space="preserve">Arbitr vydal předběžný rozsudek, že má pravomoc vést opakované slyšení. Zdůvodnil to skutečností, že mu strany daly jurisdikci rozhodovat všechny spory v dané věci. Navíc v textu pravidel RYA nebylo obsaženo nic, co by naznačovalo, že autoři zamýšleli znemožnit zahájení disciplinárního řízení po uplynutí navržených časových lhůt. RYA připustila, že by mělo být provedeno opakované slyšení. Členové E a F tvrdili, že by rozhodnutí Disciplinárního panelu nemělo platit. </w:t>
      </w:r>
    </w:p>
    <w:p w:rsidR="00D607F3" w:rsidRPr="00085097" w:rsidRDefault="00D607F3">
      <w:pPr>
        <w:pStyle w:val="Zkladntext"/>
        <w:spacing w:before="7"/>
        <w:rPr>
          <w:sz w:val="19"/>
          <w:lang w:val="cs-CZ"/>
        </w:rPr>
      </w:pPr>
    </w:p>
    <w:p w:rsidR="000E401F" w:rsidRDefault="000E401F">
      <w:pPr>
        <w:pStyle w:val="Zkladntext"/>
        <w:spacing w:line="360" w:lineRule="auto"/>
        <w:ind w:left="120" w:right="155"/>
        <w:jc w:val="both"/>
        <w:rPr>
          <w:lang w:val="cs-CZ"/>
        </w:rPr>
      </w:pPr>
      <w:r>
        <w:rPr>
          <w:lang w:val="cs-CZ"/>
        </w:rPr>
        <w:t>Arbitr rozhodl, že pravidla RYA nedávají pravomoc odebrat licence jednotlivým závodníkům za činy člena teamu</w:t>
      </w:r>
      <w:r w:rsidR="00497A49">
        <w:rPr>
          <w:lang w:val="cs-CZ"/>
        </w:rPr>
        <w:t>. Tento rozsudek nicméně nebyl relevantní, jelikož arbitr rozhod</w:t>
      </w:r>
      <w:r w:rsidR="00E83B7E">
        <w:rPr>
          <w:lang w:val="cs-CZ"/>
        </w:rPr>
        <w:t>l,</w:t>
      </w:r>
      <w:r w:rsidR="00497A49">
        <w:rPr>
          <w:lang w:val="cs-CZ"/>
        </w:rPr>
        <w:t xml:space="preserve"> že sabotáž byla výsledkem pečlivě připraveného plánu, na kterém měli podíl oba členové teamu, kteří byli v kontaktu přes </w:t>
      </w:r>
      <w:proofErr w:type="spellStart"/>
      <w:r w:rsidR="00497A49">
        <w:rPr>
          <w:lang w:val="cs-CZ"/>
        </w:rPr>
        <w:t>sms</w:t>
      </w:r>
      <w:proofErr w:type="spellEnd"/>
      <w:r w:rsidR="00497A49">
        <w:rPr>
          <w:lang w:val="cs-CZ"/>
        </w:rPr>
        <w:t xml:space="preserve"> a telefonický hovor bezprostředně před incidentem, v jeho průběhu i po něm. Rozhodl, že samotný čin sabotáže sice provedl Člen E, ale Člen F měl na plánu také podíl, jelikož podněcoval Člena E k akci. Arbitr na základě dostupných důkazů usoudil, že by se Člen E daného chování </w:t>
      </w:r>
      <w:r w:rsidR="00E83B7E">
        <w:rPr>
          <w:lang w:val="cs-CZ"/>
        </w:rPr>
        <w:t xml:space="preserve">sám </w:t>
      </w:r>
      <w:r w:rsidR="00497A49">
        <w:rPr>
          <w:lang w:val="cs-CZ"/>
        </w:rPr>
        <w:t>ze své vlastní iniciativy nedopustil</w:t>
      </w:r>
      <w:r w:rsidR="00E83B7E">
        <w:rPr>
          <w:lang w:val="cs-CZ"/>
        </w:rPr>
        <w:t>.</w:t>
      </w:r>
      <w:r w:rsidR="00497A49">
        <w:rPr>
          <w:lang w:val="cs-CZ"/>
        </w:rPr>
        <w:t xml:space="preserve">  </w:t>
      </w:r>
    </w:p>
    <w:p w:rsidR="00D607F3" w:rsidRPr="00085097" w:rsidRDefault="00D607F3">
      <w:pPr>
        <w:pStyle w:val="Zkladntext"/>
        <w:spacing w:line="360" w:lineRule="auto"/>
        <w:ind w:left="120" w:right="155"/>
        <w:jc w:val="both"/>
        <w:rPr>
          <w:lang w:val="cs-CZ"/>
        </w:rPr>
      </w:pPr>
    </w:p>
    <w:p w:rsidR="00E83B7E" w:rsidRPr="00085097" w:rsidRDefault="00E83B7E" w:rsidP="00C7199E">
      <w:pPr>
        <w:pStyle w:val="Nadpis1"/>
        <w:spacing w:before="81"/>
        <w:ind w:left="0"/>
        <w:jc w:val="left"/>
        <w:rPr>
          <w:lang w:val="cs-CZ"/>
        </w:rPr>
      </w:pPr>
      <w:r>
        <w:rPr>
          <w:lang w:val="cs-CZ"/>
        </w:rPr>
        <w:t xml:space="preserve">Poučení </w:t>
      </w:r>
    </w:p>
    <w:p w:rsidR="00E83B7E" w:rsidRPr="00085097" w:rsidRDefault="00E83B7E" w:rsidP="00E83B7E">
      <w:pPr>
        <w:pStyle w:val="Zkladntext"/>
        <w:spacing w:before="9"/>
        <w:rPr>
          <w:b/>
          <w:sz w:val="30"/>
          <w:lang w:val="cs-CZ"/>
        </w:rPr>
      </w:pPr>
    </w:p>
    <w:p w:rsidR="00E83B7E" w:rsidRDefault="00E83B7E" w:rsidP="00C7199E">
      <w:pPr>
        <w:pStyle w:val="Odstavecseseznamem"/>
        <w:numPr>
          <w:ilvl w:val="0"/>
          <w:numId w:val="3"/>
        </w:numPr>
        <w:spacing w:line="360" w:lineRule="auto"/>
        <w:rPr>
          <w:lang w:val="cs-CZ"/>
        </w:rPr>
      </w:pPr>
      <w:r w:rsidRPr="00E83B7E">
        <w:rPr>
          <w:lang w:val="cs-CZ"/>
        </w:rPr>
        <w:t>Disciplinární panely Národních správních orgánů musí dodržet pravidla přirozené spravedlnosti. Zejména by nemělo docházet k situacím, kdy se probíhá ústní slyšení, ale obviněný jednotlivec nebo jednotlivci nemají možnost se jej zúčastnit a vyjádřit se k předloženým důkazům</w:t>
      </w:r>
    </w:p>
    <w:p w:rsidR="00C7199E" w:rsidRPr="00E83B7E" w:rsidRDefault="00C7199E" w:rsidP="00C7199E">
      <w:pPr>
        <w:pStyle w:val="Odstavecseseznamem"/>
        <w:spacing w:line="360" w:lineRule="auto"/>
        <w:ind w:left="720" w:firstLine="0"/>
        <w:rPr>
          <w:lang w:val="cs-CZ"/>
        </w:rPr>
      </w:pPr>
    </w:p>
    <w:p w:rsidR="00E83B7E" w:rsidRPr="00B16B7D" w:rsidRDefault="00E83B7E" w:rsidP="00C7199E">
      <w:pPr>
        <w:numPr>
          <w:ilvl w:val="0"/>
          <w:numId w:val="3"/>
        </w:numPr>
        <w:tabs>
          <w:tab w:val="left" w:pos="361"/>
        </w:tabs>
        <w:spacing w:before="1" w:line="357" w:lineRule="auto"/>
        <w:ind w:right="18"/>
        <w:jc w:val="both"/>
        <w:rPr>
          <w:lang w:val="cs-CZ"/>
        </w:rPr>
      </w:pPr>
      <w:r w:rsidRPr="00B16B7D">
        <w:rPr>
          <w:lang w:val="cs-CZ"/>
        </w:rPr>
        <w:t xml:space="preserve">Národní správní orgány musí zajistit dostupnost nezávislého procesu odvolání, </w:t>
      </w:r>
      <w:r w:rsidRPr="00B16B7D">
        <w:rPr>
          <w:lang w:val="cs-CZ"/>
        </w:rPr>
        <w:lastRenderedPageBreak/>
        <w:t>kdy disciplinární otázky znovu posuzuje nezávislý odvolací soud. Pokud navíc v pravidlech národních organizací chybí ustanovení umož</w:t>
      </w:r>
      <w:r>
        <w:rPr>
          <w:lang w:val="cs-CZ"/>
        </w:rPr>
        <w:t>ň</w:t>
      </w:r>
      <w:r w:rsidRPr="00B16B7D">
        <w:rPr>
          <w:lang w:val="cs-CZ"/>
        </w:rPr>
        <w:t xml:space="preserve">ující řešení sporů pomocí arbitráže, vystavují se tím riziku soudního postihu a hrozbě žaloby o náhradu škodu. </w:t>
      </w:r>
      <w:r>
        <w:rPr>
          <w:lang w:val="cs-CZ"/>
        </w:rPr>
        <w:t xml:space="preserve"> </w:t>
      </w:r>
    </w:p>
    <w:p w:rsidR="00E83B7E" w:rsidRDefault="00E83B7E" w:rsidP="00E83B7E">
      <w:pPr>
        <w:spacing w:line="360" w:lineRule="auto"/>
        <w:jc w:val="both"/>
        <w:rPr>
          <w:lang w:val="cs-CZ"/>
        </w:rPr>
      </w:pPr>
    </w:p>
    <w:p w:rsidR="00E83B7E" w:rsidRDefault="00E83B7E" w:rsidP="00E83B7E">
      <w:pPr>
        <w:spacing w:line="360" w:lineRule="auto"/>
        <w:jc w:val="both"/>
        <w:rPr>
          <w:lang w:val="cs-CZ"/>
        </w:rPr>
      </w:pPr>
    </w:p>
    <w:p w:rsidR="00E83B7E" w:rsidRDefault="00E83B7E">
      <w:pPr>
        <w:rPr>
          <w:lang w:val="cs-CZ"/>
        </w:rPr>
      </w:pPr>
      <w:r>
        <w:rPr>
          <w:lang w:val="cs-CZ"/>
        </w:rPr>
        <w:br w:type="page"/>
      </w:r>
    </w:p>
    <w:p w:rsidR="00D607F3" w:rsidRPr="00085097" w:rsidRDefault="00D607F3">
      <w:pPr>
        <w:spacing w:line="360" w:lineRule="auto"/>
        <w:jc w:val="both"/>
        <w:rPr>
          <w:lang w:val="cs-CZ"/>
        </w:rPr>
        <w:sectPr w:rsidR="00D607F3" w:rsidRPr="00085097">
          <w:pgSz w:w="11910" w:h="16840"/>
          <w:pgMar w:top="1340" w:right="1280" w:bottom="280" w:left="1320" w:header="708" w:footer="708" w:gutter="0"/>
          <w:cols w:space="708"/>
        </w:sectPr>
      </w:pPr>
    </w:p>
    <w:p w:rsidR="00D607F3" w:rsidRPr="00E83B7E" w:rsidRDefault="00D607F3" w:rsidP="00C7199E">
      <w:pPr>
        <w:rPr>
          <w:sz w:val="20"/>
          <w:lang w:val="cs-CZ"/>
        </w:rPr>
      </w:pPr>
      <w:bookmarkStart w:id="0" w:name="_GoBack"/>
      <w:bookmarkEnd w:id="0"/>
    </w:p>
    <w:sectPr w:rsidR="00D607F3" w:rsidRPr="00E83B7E">
      <w:pgSz w:w="11910" w:h="16840"/>
      <w:pgMar w:top="1340" w:right="128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D5F79"/>
    <w:multiLevelType w:val="hybridMultilevel"/>
    <w:tmpl w:val="F662B9BE"/>
    <w:lvl w:ilvl="0" w:tplc="62E426E2">
      <w:numFmt w:val="bullet"/>
      <w:lvlText w:val=""/>
      <w:lvlJc w:val="left"/>
      <w:pPr>
        <w:ind w:left="360" w:hanging="361"/>
      </w:pPr>
      <w:rPr>
        <w:rFonts w:ascii="Symbol" w:eastAsia="Symbol" w:hAnsi="Symbol" w:cs="Symbol" w:hint="default"/>
        <w:w w:val="100"/>
        <w:sz w:val="22"/>
        <w:szCs w:val="22"/>
        <w:lang w:val="en-GB" w:eastAsia="en-GB" w:bidi="en-GB"/>
      </w:rPr>
    </w:lvl>
    <w:lvl w:ilvl="1" w:tplc="1214F5EC">
      <w:numFmt w:val="bullet"/>
      <w:lvlText w:val="•"/>
      <w:lvlJc w:val="left"/>
      <w:pPr>
        <w:ind w:left="1192" w:hanging="361"/>
      </w:pPr>
      <w:rPr>
        <w:rFonts w:hint="default"/>
        <w:lang w:val="en-GB" w:eastAsia="en-GB" w:bidi="en-GB"/>
      </w:rPr>
    </w:lvl>
    <w:lvl w:ilvl="2" w:tplc="F3ACA1E0">
      <w:numFmt w:val="bullet"/>
      <w:lvlText w:val="•"/>
      <w:lvlJc w:val="left"/>
      <w:pPr>
        <w:ind w:left="2025" w:hanging="361"/>
      </w:pPr>
      <w:rPr>
        <w:rFonts w:hint="default"/>
        <w:lang w:val="en-GB" w:eastAsia="en-GB" w:bidi="en-GB"/>
      </w:rPr>
    </w:lvl>
    <w:lvl w:ilvl="3" w:tplc="9B8A6294">
      <w:numFmt w:val="bullet"/>
      <w:lvlText w:val="•"/>
      <w:lvlJc w:val="left"/>
      <w:pPr>
        <w:ind w:left="2857" w:hanging="361"/>
      </w:pPr>
      <w:rPr>
        <w:rFonts w:hint="default"/>
        <w:lang w:val="en-GB" w:eastAsia="en-GB" w:bidi="en-GB"/>
      </w:rPr>
    </w:lvl>
    <w:lvl w:ilvl="4" w:tplc="2886E5B2">
      <w:numFmt w:val="bullet"/>
      <w:lvlText w:val="•"/>
      <w:lvlJc w:val="left"/>
      <w:pPr>
        <w:ind w:left="3690" w:hanging="361"/>
      </w:pPr>
      <w:rPr>
        <w:rFonts w:hint="default"/>
        <w:lang w:val="en-GB" w:eastAsia="en-GB" w:bidi="en-GB"/>
      </w:rPr>
    </w:lvl>
    <w:lvl w:ilvl="5" w:tplc="870EBAD2">
      <w:numFmt w:val="bullet"/>
      <w:lvlText w:val="•"/>
      <w:lvlJc w:val="left"/>
      <w:pPr>
        <w:ind w:left="4523" w:hanging="361"/>
      </w:pPr>
      <w:rPr>
        <w:rFonts w:hint="default"/>
        <w:lang w:val="en-GB" w:eastAsia="en-GB" w:bidi="en-GB"/>
      </w:rPr>
    </w:lvl>
    <w:lvl w:ilvl="6" w:tplc="877623FC">
      <w:numFmt w:val="bullet"/>
      <w:lvlText w:val="•"/>
      <w:lvlJc w:val="left"/>
      <w:pPr>
        <w:ind w:left="5355" w:hanging="361"/>
      </w:pPr>
      <w:rPr>
        <w:rFonts w:hint="default"/>
        <w:lang w:val="en-GB" w:eastAsia="en-GB" w:bidi="en-GB"/>
      </w:rPr>
    </w:lvl>
    <w:lvl w:ilvl="7" w:tplc="BF1873E0">
      <w:numFmt w:val="bullet"/>
      <w:lvlText w:val="•"/>
      <w:lvlJc w:val="left"/>
      <w:pPr>
        <w:ind w:left="6188" w:hanging="361"/>
      </w:pPr>
      <w:rPr>
        <w:rFonts w:hint="default"/>
        <w:lang w:val="en-GB" w:eastAsia="en-GB" w:bidi="en-GB"/>
      </w:rPr>
    </w:lvl>
    <w:lvl w:ilvl="8" w:tplc="BF4EA756">
      <w:numFmt w:val="bullet"/>
      <w:lvlText w:val="•"/>
      <w:lvlJc w:val="left"/>
      <w:pPr>
        <w:ind w:left="7021" w:hanging="361"/>
      </w:pPr>
      <w:rPr>
        <w:rFonts w:hint="default"/>
        <w:lang w:val="en-GB" w:eastAsia="en-GB" w:bidi="en-GB"/>
      </w:rPr>
    </w:lvl>
  </w:abstractNum>
  <w:abstractNum w:abstractNumId="1" w15:restartNumberingAfterBreak="0">
    <w:nsid w:val="5CDC3DDD"/>
    <w:multiLevelType w:val="hybridMultilevel"/>
    <w:tmpl w:val="FF40F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B4973EC"/>
    <w:multiLevelType w:val="hybridMultilevel"/>
    <w:tmpl w:val="CB06430A"/>
    <w:lvl w:ilvl="0" w:tplc="3C02A3A4">
      <w:numFmt w:val="bullet"/>
      <w:lvlText w:val="–"/>
      <w:lvlJc w:val="left"/>
      <w:pPr>
        <w:ind w:left="335" w:hanging="216"/>
      </w:pPr>
      <w:rPr>
        <w:rFonts w:ascii="Verdana" w:eastAsia="Verdana" w:hAnsi="Verdana" w:cs="Verdana" w:hint="default"/>
        <w:i/>
        <w:color w:val="0070C0"/>
        <w:w w:val="100"/>
        <w:sz w:val="22"/>
        <w:szCs w:val="22"/>
        <w:lang w:val="en-GB" w:eastAsia="en-GB" w:bidi="en-GB"/>
      </w:rPr>
    </w:lvl>
    <w:lvl w:ilvl="1" w:tplc="4086D924">
      <w:numFmt w:val="bullet"/>
      <w:lvlText w:val=""/>
      <w:lvlJc w:val="left"/>
      <w:pPr>
        <w:ind w:left="840" w:hanging="361"/>
      </w:pPr>
      <w:rPr>
        <w:rFonts w:ascii="Symbol" w:eastAsia="Symbol" w:hAnsi="Symbol" w:cs="Symbol" w:hint="default"/>
        <w:w w:val="100"/>
        <w:sz w:val="22"/>
        <w:szCs w:val="22"/>
        <w:lang w:val="en-GB" w:eastAsia="en-GB" w:bidi="en-GB"/>
      </w:rPr>
    </w:lvl>
    <w:lvl w:ilvl="2" w:tplc="B48E489C">
      <w:numFmt w:val="bullet"/>
      <w:lvlText w:val="•"/>
      <w:lvlJc w:val="left"/>
      <w:pPr>
        <w:ind w:left="1780" w:hanging="361"/>
      </w:pPr>
      <w:rPr>
        <w:rFonts w:hint="default"/>
        <w:lang w:val="en-GB" w:eastAsia="en-GB" w:bidi="en-GB"/>
      </w:rPr>
    </w:lvl>
    <w:lvl w:ilvl="3" w:tplc="0C6CC94C">
      <w:numFmt w:val="bullet"/>
      <w:lvlText w:val="•"/>
      <w:lvlJc w:val="left"/>
      <w:pPr>
        <w:ind w:left="2721" w:hanging="361"/>
      </w:pPr>
      <w:rPr>
        <w:rFonts w:hint="default"/>
        <w:lang w:val="en-GB" w:eastAsia="en-GB" w:bidi="en-GB"/>
      </w:rPr>
    </w:lvl>
    <w:lvl w:ilvl="4" w:tplc="E314222C">
      <w:numFmt w:val="bullet"/>
      <w:lvlText w:val="•"/>
      <w:lvlJc w:val="left"/>
      <w:pPr>
        <w:ind w:left="3662" w:hanging="361"/>
      </w:pPr>
      <w:rPr>
        <w:rFonts w:hint="default"/>
        <w:lang w:val="en-GB" w:eastAsia="en-GB" w:bidi="en-GB"/>
      </w:rPr>
    </w:lvl>
    <w:lvl w:ilvl="5" w:tplc="5A2842F2">
      <w:numFmt w:val="bullet"/>
      <w:lvlText w:val="•"/>
      <w:lvlJc w:val="left"/>
      <w:pPr>
        <w:ind w:left="4602" w:hanging="361"/>
      </w:pPr>
      <w:rPr>
        <w:rFonts w:hint="default"/>
        <w:lang w:val="en-GB" w:eastAsia="en-GB" w:bidi="en-GB"/>
      </w:rPr>
    </w:lvl>
    <w:lvl w:ilvl="6" w:tplc="CADE49F2">
      <w:numFmt w:val="bullet"/>
      <w:lvlText w:val="•"/>
      <w:lvlJc w:val="left"/>
      <w:pPr>
        <w:ind w:left="5543" w:hanging="361"/>
      </w:pPr>
      <w:rPr>
        <w:rFonts w:hint="default"/>
        <w:lang w:val="en-GB" w:eastAsia="en-GB" w:bidi="en-GB"/>
      </w:rPr>
    </w:lvl>
    <w:lvl w:ilvl="7" w:tplc="26A4B34A">
      <w:numFmt w:val="bullet"/>
      <w:lvlText w:val="•"/>
      <w:lvlJc w:val="left"/>
      <w:pPr>
        <w:ind w:left="6484" w:hanging="361"/>
      </w:pPr>
      <w:rPr>
        <w:rFonts w:hint="default"/>
        <w:lang w:val="en-GB" w:eastAsia="en-GB" w:bidi="en-GB"/>
      </w:rPr>
    </w:lvl>
    <w:lvl w:ilvl="8" w:tplc="8D046B50">
      <w:numFmt w:val="bullet"/>
      <w:lvlText w:val="•"/>
      <w:lvlJc w:val="left"/>
      <w:pPr>
        <w:ind w:left="7424" w:hanging="361"/>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7F3"/>
    <w:rsid w:val="00085097"/>
    <w:rsid w:val="000E401F"/>
    <w:rsid w:val="0020435C"/>
    <w:rsid w:val="00207436"/>
    <w:rsid w:val="0020769A"/>
    <w:rsid w:val="00353FE7"/>
    <w:rsid w:val="003B2415"/>
    <w:rsid w:val="003D6ECB"/>
    <w:rsid w:val="00497A49"/>
    <w:rsid w:val="004F1162"/>
    <w:rsid w:val="005A52B4"/>
    <w:rsid w:val="008724FE"/>
    <w:rsid w:val="008C41AF"/>
    <w:rsid w:val="00C7199E"/>
    <w:rsid w:val="00D607F3"/>
    <w:rsid w:val="00E83B7E"/>
    <w:rsid w:val="00F379C7"/>
    <w:rsid w:val="00F873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C265B-3C89-4218-B074-A28F1CE0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Verdana" w:eastAsia="Verdana" w:hAnsi="Verdana" w:cs="Verdana"/>
      <w:lang w:val="en-GB" w:eastAsia="en-GB" w:bidi="en-GB"/>
    </w:rPr>
  </w:style>
  <w:style w:type="paragraph" w:styleId="Nadpis1">
    <w:name w:val="heading 1"/>
    <w:basedOn w:val="Normln"/>
    <w:uiPriority w:val="9"/>
    <w:qFormat/>
    <w:pPr>
      <w:ind w:left="120"/>
      <w:jc w:val="both"/>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pPr>
      <w:ind w:left="335" w:hanging="361"/>
      <w:jc w:val="both"/>
    </w:pPr>
  </w:style>
  <w:style w:type="paragraph" w:customStyle="1" w:styleId="TableParagraph">
    <w:name w:val="Table Paragraph"/>
    <w:basedOn w:val="Normln"/>
    <w:uiPriority w:val="1"/>
    <w:qFormat/>
  </w:style>
  <w:style w:type="paragraph" w:styleId="Textbubliny">
    <w:name w:val="Balloon Text"/>
    <w:basedOn w:val="Normln"/>
    <w:link w:val="TextbublinyChar"/>
    <w:uiPriority w:val="99"/>
    <w:semiHidden/>
    <w:unhideWhenUsed/>
    <w:rsid w:val="003D6EC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6ECB"/>
    <w:rPr>
      <w:rFonts w:ascii="Segoe UI" w:eastAsia="Verdana"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622</Words>
  <Characters>3670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London2012</dc:creator>
  <cp:lastModifiedBy>Irena Vicarova</cp:lastModifiedBy>
  <cp:revision>8</cp:revision>
  <dcterms:created xsi:type="dcterms:W3CDTF">2019-01-04T10:02:00Z</dcterms:created>
  <dcterms:modified xsi:type="dcterms:W3CDTF">2019-01-20T13:11:00Z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18 for Word</vt:lpwstr>
  </property>
  <property fmtid="{D5CDD505-2E9C-101B-9397-08002B2CF9AE}" pid="4" name="LastSaved">
    <vt:filetime>2018-10-13T00:00:00Z</vt:filetime>
  </property>
</Properties>
</file>