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C49" w:rsidRPr="000E05E1" w:rsidRDefault="0069340B" w:rsidP="00812AB8">
      <w:pPr>
        <w:pStyle w:val="Zkladntext"/>
        <w:spacing w:before="32" w:line="252" w:lineRule="auto"/>
        <w:ind w:left="5409" w:right="105" w:hanging="488"/>
        <w:jc w:val="right"/>
        <w:rPr>
          <w:rFonts w:ascii="Trebuchet MS"/>
          <w:lang w:val="cs-CZ"/>
        </w:rPr>
      </w:pPr>
      <w:r>
        <w:rPr>
          <w:rFonts w:ascii="Trebuchet MS"/>
          <w:w w:val="95"/>
          <w:lang w:val="cs-CZ"/>
        </w:rPr>
        <w:t>Rozhodnut</w:t>
      </w:r>
      <w:r>
        <w:rPr>
          <w:rFonts w:ascii="Trebuchet MS"/>
          <w:w w:val="95"/>
          <w:lang w:val="cs-CZ"/>
        </w:rPr>
        <w:t>í</w:t>
      </w:r>
      <w:r>
        <w:rPr>
          <w:rFonts w:ascii="Trebuchet MS"/>
          <w:w w:val="95"/>
          <w:lang w:val="cs-CZ"/>
        </w:rPr>
        <w:t xml:space="preserve"> Nez</w:t>
      </w:r>
      <w:r>
        <w:rPr>
          <w:rFonts w:ascii="Trebuchet MS"/>
          <w:w w:val="95"/>
          <w:lang w:val="cs-CZ"/>
        </w:rPr>
        <w:t>á</w:t>
      </w:r>
      <w:r>
        <w:rPr>
          <w:rFonts w:ascii="Trebuchet MS"/>
          <w:w w:val="95"/>
          <w:lang w:val="cs-CZ"/>
        </w:rPr>
        <w:t>visl</w:t>
      </w:r>
      <w:r>
        <w:rPr>
          <w:rFonts w:ascii="Trebuchet MS"/>
          <w:w w:val="95"/>
          <w:lang w:val="cs-CZ"/>
        </w:rPr>
        <w:t>é</w:t>
      </w:r>
      <w:r>
        <w:rPr>
          <w:rFonts w:ascii="Trebuchet MS"/>
          <w:w w:val="95"/>
          <w:lang w:val="cs-CZ"/>
        </w:rPr>
        <w:t>ho soudu (</w:t>
      </w:r>
      <w:r w:rsidR="00812AB8">
        <w:rPr>
          <w:rFonts w:ascii="Trebuchet MS"/>
          <w:w w:val="95"/>
          <w:lang w:val="cs-CZ"/>
        </w:rPr>
        <w:t>ú</w:t>
      </w:r>
      <w:r w:rsidR="00812AB8">
        <w:rPr>
          <w:rFonts w:ascii="Trebuchet MS"/>
          <w:w w:val="95"/>
          <w:lang w:val="cs-CZ"/>
        </w:rPr>
        <w:t>nor 2018)</w:t>
      </w:r>
      <w:r w:rsidR="00332378" w:rsidRPr="000E05E1">
        <w:rPr>
          <w:rFonts w:ascii="Trebuchet MS"/>
          <w:w w:val="95"/>
          <w:lang w:val="cs-CZ"/>
        </w:rPr>
        <w:t xml:space="preserve"> </w:t>
      </w:r>
      <w:r>
        <w:rPr>
          <w:rFonts w:ascii="Trebuchet MS"/>
          <w:w w:val="95"/>
          <w:lang w:val="cs-CZ"/>
        </w:rPr>
        <w:t>Tren</w:t>
      </w:r>
      <w:r>
        <w:rPr>
          <w:rFonts w:ascii="Trebuchet MS"/>
          <w:w w:val="95"/>
          <w:lang w:val="cs-CZ"/>
        </w:rPr>
        <w:t>é</w:t>
      </w:r>
      <w:r>
        <w:rPr>
          <w:rFonts w:ascii="Trebuchet MS"/>
          <w:w w:val="95"/>
          <w:lang w:val="cs-CZ"/>
        </w:rPr>
        <w:t>r B v</w:t>
      </w:r>
      <w:r>
        <w:rPr>
          <w:rFonts w:ascii="Trebuchet MS"/>
          <w:w w:val="95"/>
          <w:lang w:val="cs-CZ"/>
        </w:rPr>
        <w:t> </w:t>
      </w:r>
      <w:r>
        <w:rPr>
          <w:rFonts w:ascii="Trebuchet MS"/>
          <w:w w:val="95"/>
          <w:lang w:val="cs-CZ"/>
        </w:rPr>
        <w:t xml:space="preserve">ITF </w:t>
      </w:r>
    </w:p>
    <w:p w:rsidR="006D2C49" w:rsidRPr="000E05E1" w:rsidRDefault="006D2C49">
      <w:pPr>
        <w:pStyle w:val="Zkladntext"/>
        <w:rPr>
          <w:rFonts w:ascii="Trebuchet MS"/>
          <w:sz w:val="20"/>
          <w:lang w:val="cs-CZ"/>
        </w:rPr>
      </w:pPr>
    </w:p>
    <w:p w:rsidR="006D2C49" w:rsidRPr="000E05E1" w:rsidRDefault="006D2C49">
      <w:pPr>
        <w:pStyle w:val="Zkladntext"/>
        <w:rPr>
          <w:rFonts w:ascii="Trebuchet MS"/>
          <w:sz w:val="20"/>
          <w:lang w:val="cs-CZ"/>
        </w:rPr>
      </w:pPr>
    </w:p>
    <w:p w:rsidR="006D2C49" w:rsidRPr="000E05E1" w:rsidRDefault="006D2C49">
      <w:pPr>
        <w:pStyle w:val="Zkladntext"/>
        <w:rPr>
          <w:rFonts w:ascii="Trebuchet MS"/>
          <w:sz w:val="29"/>
          <w:lang w:val="cs-CZ"/>
        </w:rPr>
      </w:pPr>
    </w:p>
    <w:p w:rsidR="006D2C49" w:rsidRPr="000E05E1" w:rsidRDefault="00923A6D">
      <w:pPr>
        <w:spacing w:before="101"/>
        <w:ind w:left="1615"/>
        <w:rPr>
          <w:b/>
          <w:sz w:val="28"/>
          <w:lang w:val="cs-CZ"/>
        </w:rPr>
      </w:pPr>
      <w:r>
        <w:rPr>
          <w:b/>
          <w:sz w:val="28"/>
          <w:lang w:val="cs-CZ"/>
        </w:rPr>
        <w:t xml:space="preserve">Případ č. </w:t>
      </w:r>
      <w:r w:rsidR="00F76A2D">
        <w:rPr>
          <w:b/>
          <w:sz w:val="28"/>
          <w:lang w:val="cs-CZ"/>
        </w:rPr>
        <w:t xml:space="preserve">39 – Porušení pravidel chování </w:t>
      </w:r>
    </w:p>
    <w:p w:rsidR="006D2C49" w:rsidRPr="000E05E1" w:rsidRDefault="006D2C49">
      <w:pPr>
        <w:pStyle w:val="Zkladntext"/>
        <w:rPr>
          <w:b/>
          <w:sz w:val="20"/>
          <w:lang w:val="cs-CZ"/>
        </w:rPr>
      </w:pPr>
    </w:p>
    <w:p w:rsidR="006D2C49" w:rsidRPr="000E05E1" w:rsidRDefault="006D2C49">
      <w:pPr>
        <w:pStyle w:val="Zkladntext"/>
        <w:rPr>
          <w:b/>
          <w:sz w:val="20"/>
          <w:lang w:val="cs-CZ"/>
        </w:rPr>
      </w:pPr>
    </w:p>
    <w:p w:rsidR="006D2C49" w:rsidRPr="000E05E1" w:rsidRDefault="006D2C49">
      <w:pPr>
        <w:pStyle w:val="Zkladntext"/>
        <w:spacing w:before="1"/>
        <w:rPr>
          <w:b/>
          <w:sz w:val="24"/>
          <w:lang w:val="cs-CZ"/>
        </w:rPr>
      </w:pPr>
    </w:p>
    <w:p w:rsidR="006D2C49" w:rsidRPr="000E05E1" w:rsidRDefault="00F76A2D">
      <w:pPr>
        <w:pStyle w:val="Nadpis1"/>
        <w:spacing w:before="101"/>
        <w:rPr>
          <w:lang w:val="cs-CZ"/>
        </w:rPr>
      </w:pPr>
      <w:r>
        <w:rPr>
          <w:lang w:val="cs-CZ"/>
        </w:rPr>
        <w:t xml:space="preserve">Klíčová slova </w:t>
      </w:r>
    </w:p>
    <w:p w:rsidR="006D2C49" w:rsidRPr="000E05E1" w:rsidRDefault="006D2C49">
      <w:pPr>
        <w:pStyle w:val="Zkladntext"/>
        <w:spacing w:before="8"/>
        <w:rPr>
          <w:b/>
          <w:sz w:val="30"/>
          <w:lang w:val="cs-CZ"/>
        </w:rPr>
      </w:pPr>
    </w:p>
    <w:p w:rsidR="006D2C49" w:rsidRPr="000E05E1" w:rsidRDefault="00F76A2D">
      <w:pPr>
        <w:spacing w:before="1" w:line="362" w:lineRule="auto"/>
        <w:ind w:left="120" w:right="120"/>
        <w:jc w:val="both"/>
        <w:rPr>
          <w:i/>
          <w:lang w:val="cs-CZ"/>
        </w:rPr>
      </w:pPr>
      <w:r>
        <w:rPr>
          <w:i/>
          <w:lang w:val="cs-CZ"/>
        </w:rPr>
        <w:t xml:space="preserve">Integrita; </w:t>
      </w:r>
      <w:r w:rsidR="00F33FB7">
        <w:rPr>
          <w:i/>
          <w:lang w:val="cs-CZ"/>
        </w:rPr>
        <w:t>S</w:t>
      </w:r>
      <w:r>
        <w:rPr>
          <w:i/>
          <w:lang w:val="cs-CZ"/>
        </w:rPr>
        <w:t xml:space="preserve">exuální obtěžování; </w:t>
      </w:r>
      <w:r w:rsidR="00F33FB7">
        <w:rPr>
          <w:i/>
          <w:lang w:val="cs-CZ"/>
        </w:rPr>
        <w:t>R</w:t>
      </w:r>
      <w:r>
        <w:rPr>
          <w:i/>
          <w:lang w:val="cs-CZ"/>
        </w:rPr>
        <w:t xml:space="preserve">asizmus; Pravidla chování; Zastrašování; Vměšování; Dotčené osoby; </w:t>
      </w:r>
      <w:r w:rsidRPr="00812AB8">
        <w:rPr>
          <w:i/>
          <w:color w:val="0070C0"/>
          <w:lang w:val="cs-CZ"/>
        </w:rPr>
        <w:t xml:space="preserve">Obtěžování; Rovnost příležitostí </w:t>
      </w:r>
    </w:p>
    <w:p w:rsidR="006D2C49" w:rsidRPr="000E05E1" w:rsidRDefault="006D2C49">
      <w:pPr>
        <w:pStyle w:val="Zkladntext"/>
        <w:rPr>
          <w:i/>
          <w:sz w:val="26"/>
          <w:lang w:val="cs-CZ"/>
        </w:rPr>
      </w:pPr>
    </w:p>
    <w:p w:rsidR="006D2C49" w:rsidRPr="000E05E1" w:rsidRDefault="006D2C49">
      <w:pPr>
        <w:pStyle w:val="Zkladntext"/>
        <w:rPr>
          <w:i/>
          <w:sz w:val="26"/>
          <w:lang w:val="cs-CZ"/>
        </w:rPr>
      </w:pPr>
    </w:p>
    <w:p w:rsidR="006D2C49" w:rsidRPr="000E05E1" w:rsidRDefault="006D2C49">
      <w:pPr>
        <w:pStyle w:val="Zkladntext"/>
        <w:spacing w:before="2"/>
        <w:rPr>
          <w:i/>
          <w:sz w:val="20"/>
          <w:lang w:val="cs-CZ"/>
        </w:rPr>
      </w:pPr>
    </w:p>
    <w:p w:rsidR="006D2C49" w:rsidRPr="000E05E1" w:rsidRDefault="00F76A2D">
      <w:pPr>
        <w:pStyle w:val="Nadpis1"/>
        <w:rPr>
          <w:lang w:val="cs-CZ"/>
        </w:rPr>
      </w:pPr>
      <w:r>
        <w:rPr>
          <w:lang w:val="cs-CZ"/>
        </w:rPr>
        <w:t xml:space="preserve">Shrnutí </w:t>
      </w:r>
    </w:p>
    <w:p w:rsidR="006D2C49" w:rsidRPr="000E05E1" w:rsidRDefault="006D2C49">
      <w:pPr>
        <w:pStyle w:val="Zkladntext"/>
        <w:spacing w:before="8"/>
        <w:rPr>
          <w:b/>
          <w:sz w:val="30"/>
          <w:lang w:val="cs-CZ"/>
        </w:rPr>
      </w:pPr>
    </w:p>
    <w:p w:rsidR="00F76A2D" w:rsidRDefault="00F76A2D">
      <w:pPr>
        <w:pStyle w:val="Zkladntext"/>
        <w:spacing w:before="1" w:line="360" w:lineRule="auto"/>
        <w:ind w:left="120" w:right="118" w:hanging="1"/>
        <w:jc w:val="both"/>
        <w:rPr>
          <w:lang w:val="cs-CZ"/>
        </w:rPr>
      </w:pPr>
      <w:r>
        <w:rPr>
          <w:lang w:val="cs-CZ"/>
        </w:rPr>
        <w:t xml:space="preserve">Trenér B se odvolal proti rozhodnutí Interního adjudikačního panelu (IAP) ITF ze dne 20. července 2017. </w:t>
      </w:r>
    </w:p>
    <w:p w:rsidR="006D2C49" w:rsidRPr="000E05E1" w:rsidRDefault="006D2C49">
      <w:pPr>
        <w:pStyle w:val="Zkladntext"/>
        <w:spacing w:before="8"/>
        <w:rPr>
          <w:sz w:val="19"/>
          <w:lang w:val="cs-CZ"/>
        </w:rPr>
      </w:pPr>
    </w:p>
    <w:p w:rsidR="00F76A2D" w:rsidRDefault="00F76A2D">
      <w:pPr>
        <w:pStyle w:val="Zkladntext"/>
        <w:spacing w:line="360" w:lineRule="auto"/>
        <w:ind w:left="120" w:right="115"/>
        <w:jc w:val="both"/>
        <w:rPr>
          <w:lang w:val="cs-CZ"/>
        </w:rPr>
      </w:pPr>
      <w:r>
        <w:rPr>
          <w:lang w:val="cs-CZ"/>
        </w:rPr>
        <w:t xml:space="preserve">Trenér B byl obviněn z porušení Pravidel chování dle Nařízení Fed Cup 2017 (Pravidla). ITF vznesla vůči Trenérovi B šest obvinění vyplývajících z jeho chování během </w:t>
      </w:r>
      <w:r w:rsidR="00A079AE">
        <w:rPr>
          <w:lang w:val="cs-CZ"/>
        </w:rPr>
        <w:t xml:space="preserve">utkání Fed </w:t>
      </w:r>
      <w:proofErr w:type="spellStart"/>
      <w:r w:rsidR="00A079AE">
        <w:rPr>
          <w:lang w:val="cs-CZ"/>
        </w:rPr>
        <w:t>Cupu</w:t>
      </w:r>
      <w:proofErr w:type="spellEnd"/>
      <w:r w:rsidR="00A079AE">
        <w:rPr>
          <w:lang w:val="cs-CZ"/>
        </w:rPr>
        <w:t xml:space="preserve">, které se konalo v dubnu 2017 v Rumunku. Rumunsko hostilo Velkou Británii (VB). IAP potvrdil čtyři obvinění, konkrétně poznámky o v té době doposud nenarozeném dítěti Hráčky C, poznámky směrem ke kapitánce teamu VB, incident mezi Trenérem B a zástupkyní </w:t>
      </w:r>
      <w:r w:rsidR="0069340B">
        <w:rPr>
          <w:lang w:val="cs-CZ"/>
        </w:rPr>
        <w:t>médií</w:t>
      </w:r>
      <w:r w:rsidR="00A079AE">
        <w:rPr>
          <w:lang w:val="cs-CZ"/>
        </w:rPr>
        <w:t xml:space="preserve"> (obvinění </w:t>
      </w:r>
      <w:r w:rsidR="0069340B">
        <w:rPr>
          <w:lang w:val="cs-CZ"/>
        </w:rPr>
        <w:t>ze strany médií</w:t>
      </w:r>
      <w:r w:rsidR="00A079AE">
        <w:rPr>
          <w:lang w:val="cs-CZ"/>
        </w:rPr>
        <w:t xml:space="preserve">), a chování Trenéra B na kurtu. </w:t>
      </w:r>
    </w:p>
    <w:p w:rsidR="006D2C49" w:rsidRPr="000E05E1" w:rsidRDefault="006D2C49">
      <w:pPr>
        <w:pStyle w:val="Zkladntext"/>
        <w:spacing w:before="9"/>
        <w:rPr>
          <w:sz w:val="19"/>
          <w:lang w:val="cs-CZ"/>
        </w:rPr>
      </w:pPr>
    </w:p>
    <w:p w:rsidR="006D2C49" w:rsidRPr="000E05E1" w:rsidRDefault="00A079AE" w:rsidP="00812AB8">
      <w:pPr>
        <w:pStyle w:val="Zkladntext"/>
        <w:spacing w:line="360" w:lineRule="auto"/>
        <w:ind w:left="120" w:right="115"/>
        <w:jc w:val="both"/>
        <w:rPr>
          <w:sz w:val="26"/>
          <w:lang w:val="cs-CZ"/>
        </w:rPr>
      </w:pPr>
      <w:r>
        <w:rPr>
          <w:lang w:val="cs-CZ"/>
        </w:rPr>
        <w:t xml:space="preserve">Odvolání bylo předáno Sport </w:t>
      </w:r>
      <w:proofErr w:type="spellStart"/>
      <w:r>
        <w:rPr>
          <w:lang w:val="cs-CZ"/>
        </w:rPr>
        <w:t>Resolutions</w:t>
      </w:r>
      <w:proofErr w:type="spellEnd"/>
      <w:r>
        <w:rPr>
          <w:lang w:val="cs-CZ"/>
        </w:rPr>
        <w:t xml:space="preserve"> jakožto sekretariátu Nezávislého panelu v souladu s Procesními pravidly upravujícími projednání nezávislým soudem dohodnuté v rámci Pravidel ITF. Byl proto svolán Nezávislý soud, aby věc posoudil </w:t>
      </w:r>
      <w:r w:rsidRPr="00812AB8">
        <w:rPr>
          <w:i/>
          <w:lang w:val="cs-CZ"/>
        </w:rPr>
        <w:t>de novo.</w:t>
      </w:r>
    </w:p>
    <w:p w:rsidR="006D2C49" w:rsidRPr="000E05E1" w:rsidRDefault="006D2C49">
      <w:pPr>
        <w:pStyle w:val="Zkladntext"/>
        <w:rPr>
          <w:sz w:val="26"/>
          <w:lang w:val="cs-CZ"/>
        </w:rPr>
      </w:pPr>
    </w:p>
    <w:p w:rsidR="006D2C49" w:rsidRPr="000E05E1" w:rsidRDefault="006D2C49">
      <w:pPr>
        <w:pStyle w:val="Zkladntext"/>
        <w:spacing w:before="5"/>
        <w:rPr>
          <w:sz w:val="20"/>
          <w:lang w:val="cs-CZ"/>
        </w:rPr>
      </w:pPr>
    </w:p>
    <w:p w:rsidR="006D2C49" w:rsidRPr="000E05E1" w:rsidRDefault="00A079AE">
      <w:pPr>
        <w:pStyle w:val="Nadpis1"/>
        <w:rPr>
          <w:lang w:val="cs-CZ"/>
        </w:rPr>
      </w:pPr>
      <w:r>
        <w:rPr>
          <w:lang w:val="cs-CZ"/>
        </w:rPr>
        <w:t xml:space="preserve">Kontext </w:t>
      </w:r>
    </w:p>
    <w:p w:rsidR="006D2C49" w:rsidRPr="000E05E1" w:rsidRDefault="006D2C49">
      <w:pPr>
        <w:pStyle w:val="Zkladntext"/>
        <w:spacing w:before="8"/>
        <w:rPr>
          <w:b/>
          <w:sz w:val="30"/>
          <w:lang w:val="cs-CZ"/>
        </w:rPr>
      </w:pPr>
    </w:p>
    <w:p w:rsidR="00A079AE" w:rsidRDefault="00A079AE">
      <w:pPr>
        <w:pStyle w:val="Zkladntext"/>
        <w:spacing w:before="1" w:line="360" w:lineRule="auto"/>
        <w:ind w:left="120" w:right="117"/>
        <w:jc w:val="both"/>
        <w:rPr>
          <w:lang w:val="cs-CZ"/>
        </w:rPr>
      </w:pPr>
      <w:r>
        <w:rPr>
          <w:lang w:val="cs-CZ"/>
        </w:rPr>
        <w:t xml:space="preserve">Trenér B se účastnil utkaní Fed </w:t>
      </w:r>
      <w:proofErr w:type="spellStart"/>
      <w:r>
        <w:rPr>
          <w:lang w:val="cs-CZ"/>
        </w:rPr>
        <w:t>Cupu</w:t>
      </w:r>
      <w:proofErr w:type="spellEnd"/>
      <w:r>
        <w:rPr>
          <w:lang w:val="cs-CZ"/>
        </w:rPr>
        <w:t xml:space="preserve"> v Rumunsku v dubnu 2017 mezi hostujícím teamem VB a domácím rumunským teamem. V daném období pronesl Trenér B nevhodné poznámky směrem ke kapitánce teamu VB během oficiální večeře</w:t>
      </w:r>
      <w:r w:rsidR="00774DDC">
        <w:rPr>
          <w:lang w:val="cs-CZ"/>
        </w:rPr>
        <w:t xml:space="preserve">, následně </w:t>
      </w:r>
      <w:r w:rsidR="0069340B">
        <w:rPr>
          <w:lang w:val="cs-CZ"/>
        </w:rPr>
        <w:t>zástupci médií</w:t>
      </w:r>
      <w:r w:rsidR="00774DDC">
        <w:rPr>
          <w:lang w:val="cs-CZ"/>
        </w:rPr>
        <w:t xml:space="preserve"> zaslechl</w:t>
      </w:r>
      <w:r w:rsidR="0069340B">
        <w:rPr>
          <w:lang w:val="cs-CZ"/>
        </w:rPr>
        <w:t>i</w:t>
      </w:r>
      <w:r w:rsidR="00774DDC">
        <w:rPr>
          <w:lang w:val="cs-CZ"/>
        </w:rPr>
        <w:t xml:space="preserve">, jak pronáší necitlivé poznámky o nenarozeném dítěti Sereny Williamsové, </w:t>
      </w:r>
      <w:r w:rsidR="00774DDC" w:rsidRPr="0069340B">
        <w:rPr>
          <w:lang w:val="cs-CZ"/>
        </w:rPr>
        <w:t>vyhrožoval novinář</w:t>
      </w:r>
      <w:r w:rsidR="0069340B" w:rsidRPr="00812AB8">
        <w:rPr>
          <w:lang w:val="cs-CZ"/>
        </w:rPr>
        <w:t>ce</w:t>
      </w:r>
      <w:r w:rsidR="00774DDC" w:rsidRPr="0069340B">
        <w:rPr>
          <w:lang w:val="cs-CZ"/>
        </w:rPr>
        <w:t>, který</w:t>
      </w:r>
      <w:r w:rsidR="00774DDC">
        <w:rPr>
          <w:lang w:val="cs-CZ"/>
        </w:rPr>
        <w:t xml:space="preserve"> zveřejnil</w:t>
      </w:r>
      <w:r w:rsidR="0069340B">
        <w:rPr>
          <w:lang w:val="cs-CZ"/>
        </w:rPr>
        <w:t>a</w:t>
      </w:r>
      <w:r w:rsidR="00774DDC">
        <w:rPr>
          <w:lang w:val="cs-CZ"/>
        </w:rPr>
        <w:t xml:space="preserve"> jeho poznámky o Hráčce C, a </w:t>
      </w:r>
      <w:r w:rsidR="0069340B">
        <w:rPr>
          <w:lang w:val="cs-CZ"/>
        </w:rPr>
        <w:t>následně</w:t>
      </w:r>
      <w:r w:rsidR="00774DDC">
        <w:rPr>
          <w:lang w:val="cs-CZ"/>
        </w:rPr>
        <w:t xml:space="preserve"> během zápasu mezi hráčkami VB a Rumunska pronášel </w:t>
      </w:r>
      <w:r w:rsidR="00774DDC">
        <w:rPr>
          <w:lang w:val="cs-CZ"/>
        </w:rPr>
        <w:lastRenderedPageBreak/>
        <w:t xml:space="preserve">další nevhodné poznámky směrem k hráčce VB poté, co byl </w:t>
      </w:r>
      <w:proofErr w:type="spellStart"/>
      <w:r w:rsidR="0069340B">
        <w:rPr>
          <w:lang w:val="cs-CZ"/>
        </w:rPr>
        <w:t>umpirovým</w:t>
      </w:r>
      <w:proofErr w:type="spellEnd"/>
      <w:r w:rsidR="0069340B">
        <w:rPr>
          <w:lang w:val="cs-CZ"/>
        </w:rPr>
        <w:t xml:space="preserve"> </w:t>
      </w:r>
      <w:r w:rsidR="00774DDC">
        <w:rPr>
          <w:lang w:val="cs-CZ"/>
        </w:rPr>
        <w:t xml:space="preserve">rozhodčím vykázán ze hřiště. </w:t>
      </w:r>
    </w:p>
    <w:p w:rsidR="006D2C49" w:rsidRPr="000E05E1" w:rsidRDefault="006D2C49">
      <w:pPr>
        <w:pStyle w:val="Zkladntext"/>
        <w:spacing w:before="81" w:line="360" w:lineRule="auto"/>
        <w:ind w:left="119" w:right="117"/>
        <w:jc w:val="both"/>
        <w:rPr>
          <w:lang w:val="cs-CZ"/>
        </w:rPr>
      </w:pPr>
    </w:p>
    <w:p w:rsidR="006D2C49" w:rsidRPr="000E05E1" w:rsidRDefault="00774DDC">
      <w:pPr>
        <w:pStyle w:val="Nadpis1"/>
        <w:ind w:left="119"/>
        <w:rPr>
          <w:lang w:val="cs-CZ"/>
        </w:rPr>
      </w:pPr>
      <w:r>
        <w:rPr>
          <w:lang w:val="cs-CZ"/>
        </w:rPr>
        <w:t xml:space="preserve">Zdůvodnění a rozhodnutí soudu </w:t>
      </w:r>
    </w:p>
    <w:p w:rsidR="006D2C49" w:rsidRPr="000E05E1" w:rsidRDefault="006D2C49">
      <w:pPr>
        <w:pStyle w:val="Zkladntext"/>
        <w:spacing w:before="8"/>
        <w:rPr>
          <w:b/>
          <w:sz w:val="30"/>
          <w:lang w:val="cs-CZ"/>
        </w:rPr>
      </w:pPr>
    </w:p>
    <w:p w:rsidR="005672AD" w:rsidRPr="00812AB8" w:rsidRDefault="005672AD">
      <w:pPr>
        <w:pStyle w:val="Zkladntext"/>
        <w:spacing w:before="1" w:line="360" w:lineRule="auto"/>
        <w:ind w:left="119" w:right="114"/>
        <w:jc w:val="both"/>
        <w:rPr>
          <w:i/>
          <w:lang w:val="cs-CZ"/>
        </w:rPr>
      </w:pPr>
      <w:r>
        <w:rPr>
          <w:lang w:val="cs-CZ"/>
        </w:rPr>
        <w:t>Trenér B se proti rozhodnutí odvolal, jelikož dle jeho názoru měla být dvě z obvinění (poznámky o Hráčce C a poznámky směrem ke kapitánce teamu VB) „</w:t>
      </w:r>
      <w:r>
        <w:rPr>
          <w:i/>
          <w:lang w:val="cs-CZ"/>
        </w:rPr>
        <w:t>zamítnuta, nebo alespoň v každém případě neměla být stanovena jiná sankce než suspendace</w:t>
      </w:r>
      <w:r w:rsidR="0069340B">
        <w:rPr>
          <w:i/>
          <w:lang w:val="cs-CZ"/>
        </w:rPr>
        <w:t xml:space="preserve"> do doby projednání</w:t>
      </w:r>
      <w:r>
        <w:rPr>
          <w:i/>
          <w:lang w:val="cs-CZ"/>
        </w:rPr>
        <w:t>“</w:t>
      </w:r>
      <w:r>
        <w:rPr>
          <w:lang w:val="cs-CZ"/>
        </w:rPr>
        <w:t xml:space="preserve">, a že u dalších dvou obvinění (obvinění </w:t>
      </w:r>
      <w:r w:rsidR="0069340B">
        <w:rPr>
          <w:lang w:val="cs-CZ"/>
        </w:rPr>
        <w:t>ze strany médií</w:t>
      </w:r>
      <w:r>
        <w:rPr>
          <w:lang w:val="cs-CZ"/>
        </w:rPr>
        <w:t xml:space="preserve"> a chování </w:t>
      </w:r>
      <w:r w:rsidR="0069340B">
        <w:rPr>
          <w:lang w:val="cs-CZ"/>
        </w:rPr>
        <w:t>n</w:t>
      </w:r>
      <w:r>
        <w:rPr>
          <w:lang w:val="cs-CZ"/>
        </w:rPr>
        <w:t xml:space="preserve">a kurtu) nebyl důvod k zásadnímu trestu vzhledem k polehčujícím okolnostem. </w:t>
      </w:r>
      <w:r>
        <w:rPr>
          <w:i/>
          <w:lang w:val="cs-CZ"/>
        </w:rPr>
        <w:t xml:space="preserve"> </w:t>
      </w:r>
    </w:p>
    <w:p w:rsidR="006D2C49" w:rsidRPr="000E05E1" w:rsidRDefault="006D2C49">
      <w:pPr>
        <w:pStyle w:val="Zkladntext"/>
        <w:spacing w:before="7"/>
        <w:rPr>
          <w:sz w:val="19"/>
          <w:lang w:val="cs-CZ"/>
        </w:rPr>
      </w:pPr>
    </w:p>
    <w:p w:rsidR="005672AD" w:rsidRDefault="005672AD">
      <w:pPr>
        <w:pStyle w:val="Zkladntext"/>
        <w:spacing w:line="360" w:lineRule="auto"/>
        <w:ind w:left="119" w:right="121"/>
        <w:jc w:val="both"/>
        <w:rPr>
          <w:lang w:val="cs-CZ"/>
        </w:rPr>
      </w:pPr>
      <w:r>
        <w:rPr>
          <w:lang w:val="cs-CZ"/>
        </w:rPr>
        <w:t>ITF setrvala na čtyřech obviněních, jež byla potvrzena IAP v rozhodnutí ze dne 20. července 2017.</w:t>
      </w:r>
    </w:p>
    <w:p w:rsidR="006D2C49" w:rsidRPr="000E05E1" w:rsidRDefault="006D2C49">
      <w:pPr>
        <w:pStyle w:val="Zkladntext"/>
        <w:spacing w:before="8"/>
        <w:rPr>
          <w:sz w:val="19"/>
          <w:lang w:val="cs-CZ"/>
        </w:rPr>
      </w:pPr>
    </w:p>
    <w:p w:rsidR="005672AD" w:rsidRDefault="005672AD">
      <w:pPr>
        <w:pStyle w:val="Zkladntext"/>
        <w:spacing w:before="1" w:line="360" w:lineRule="auto"/>
        <w:ind w:left="119" w:right="116"/>
        <w:jc w:val="both"/>
        <w:rPr>
          <w:lang w:val="cs-CZ"/>
        </w:rPr>
      </w:pPr>
      <w:r>
        <w:rPr>
          <w:lang w:val="cs-CZ"/>
        </w:rPr>
        <w:t xml:space="preserve">Nezávislý soud rozhodl, že všechna čtyři obvinění byla prokázána. Při stanovení trestu posoudil Nezávislý soud závažnost jednání, a až poté posuzoval jakékoliv polehčující nebo přitěžující okolnosti. V rámci zachování proporcionality došel soud k závěru, že tresty stanovené za jednotlivá porušení pravidel by měly být vykonány v souběhu. Soud proto stanovil následující trest: </w:t>
      </w:r>
    </w:p>
    <w:p w:rsidR="006D2C49" w:rsidRPr="000E05E1" w:rsidRDefault="006D2C49">
      <w:pPr>
        <w:pStyle w:val="Zkladntext"/>
        <w:spacing w:before="9"/>
        <w:rPr>
          <w:sz w:val="19"/>
          <w:lang w:val="cs-CZ"/>
        </w:rPr>
      </w:pPr>
    </w:p>
    <w:p w:rsidR="005672AD" w:rsidRDefault="005672AD">
      <w:pPr>
        <w:pStyle w:val="Odstavecseseznamem"/>
        <w:numPr>
          <w:ilvl w:val="0"/>
          <w:numId w:val="2"/>
        </w:numPr>
        <w:tabs>
          <w:tab w:val="left" w:pos="840"/>
        </w:tabs>
        <w:spacing w:line="357" w:lineRule="auto"/>
        <w:ind w:right="118" w:hanging="360"/>
        <w:rPr>
          <w:lang w:val="cs-CZ"/>
        </w:rPr>
      </w:pPr>
      <w:r>
        <w:rPr>
          <w:lang w:val="cs-CZ"/>
        </w:rPr>
        <w:t>zákaz vykonávání jakýchkoliv oficiálních funkcí ve všech oficiálních teamových soutěžích organizovaných ITF, jednotlivých soutěží</w:t>
      </w:r>
      <w:r w:rsidR="0069340B">
        <w:rPr>
          <w:lang w:val="cs-CZ"/>
        </w:rPr>
        <w:t>ch</w:t>
      </w:r>
      <w:r>
        <w:rPr>
          <w:lang w:val="cs-CZ"/>
        </w:rPr>
        <w:t xml:space="preserve"> a zápas</w:t>
      </w:r>
      <w:r w:rsidR="0069340B">
        <w:rPr>
          <w:lang w:val="cs-CZ"/>
        </w:rPr>
        <w:t>ech</w:t>
      </w:r>
      <w:r>
        <w:rPr>
          <w:lang w:val="cs-CZ"/>
        </w:rPr>
        <w:t xml:space="preserve"> na okruhu po dobu tří let od 23. dubna 2017 do 23. dubna 2020; </w:t>
      </w:r>
    </w:p>
    <w:p w:rsidR="006D2C49" w:rsidRPr="000E05E1" w:rsidRDefault="006D2C49">
      <w:pPr>
        <w:pStyle w:val="Zkladntext"/>
        <w:spacing w:before="9"/>
        <w:rPr>
          <w:sz w:val="33"/>
          <w:lang w:val="cs-CZ"/>
        </w:rPr>
      </w:pPr>
    </w:p>
    <w:p w:rsidR="006D2C49" w:rsidRPr="000E05E1" w:rsidRDefault="00332378">
      <w:pPr>
        <w:pStyle w:val="Odstavecseseznamem"/>
        <w:numPr>
          <w:ilvl w:val="0"/>
          <w:numId w:val="2"/>
        </w:numPr>
        <w:tabs>
          <w:tab w:val="left" w:pos="840"/>
        </w:tabs>
        <w:spacing w:line="357" w:lineRule="auto"/>
        <w:ind w:right="120" w:hanging="360"/>
        <w:rPr>
          <w:lang w:val="cs-CZ"/>
        </w:rPr>
      </w:pPr>
      <w:r>
        <w:rPr>
          <w:lang w:val="cs-CZ"/>
        </w:rPr>
        <w:t xml:space="preserve">zákaz vstupu a akreditace na soutěže a okruhy uvedené v předchozím bodě po dobu jednoho roku od 23. dubna 2017 do 23. dubna 2018; a  </w:t>
      </w:r>
    </w:p>
    <w:p w:rsidR="006D2C49" w:rsidRPr="000E05E1" w:rsidRDefault="006D2C49">
      <w:pPr>
        <w:pStyle w:val="Zkladntext"/>
        <w:spacing w:before="3"/>
        <w:rPr>
          <w:sz w:val="33"/>
          <w:lang w:val="cs-CZ"/>
        </w:rPr>
      </w:pPr>
    </w:p>
    <w:p w:rsidR="006D2C49" w:rsidRPr="000E05E1" w:rsidRDefault="00332378">
      <w:pPr>
        <w:pStyle w:val="Odstavecseseznamem"/>
        <w:numPr>
          <w:ilvl w:val="0"/>
          <w:numId w:val="2"/>
        </w:numPr>
        <w:tabs>
          <w:tab w:val="left" w:pos="839"/>
          <w:tab w:val="left" w:pos="840"/>
        </w:tabs>
        <w:ind w:hanging="360"/>
        <w:jc w:val="left"/>
        <w:rPr>
          <w:lang w:val="cs-CZ"/>
        </w:rPr>
      </w:pPr>
      <w:r>
        <w:rPr>
          <w:lang w:val="cs-CZ"/>
        </w:rPr>
        <w:t>okamžitě splatná pokuta ve výši 20 000 USD.</w:t>
      </w:r>
    </w:p>
    <w:p w:rsidR="006D2C49" w:rsidRDefault="006D2C49">
      <w:pPr>
        <w:rPr>
          <w:lang w:val="cs-CZ"/>
        </w:rPr>
      </w:pPr>
    </w:p>
    <w:p w:rsidR="00812AB8" w:rsidRPr="000E05E1" w:rsidRDefault="00812AB8">
      <w:pPr>
        <w:rPr>
          <w:lang w:val="cs-CZ"/>
        </w:rPr>
        <w:sectPr w:rsidR="00812AB8" w:rsidRPr="000E05E1">
          <w:pgSz w:w="11910" w:h="16840"/>
          <w:pgMar w:top="1340" w:right="1320" w:bottom="280" w:left="1320" w:header="708" w:footer="708" w:gutter="0"/>
          <w:cols w:space="708"/>
        </w:sectPr>
      </w:pPr>
    </w:p>
    <w:p w:rsidR="006D2C49" w:rsidRDefault="00332378">
      <w:pPr>
        <w:pStyle w:val="Nadpis1"/>
        <w:spacing w:before="81"/>
        <w:rPr>
          <w:lang w:val="cs-CZ"/>
        </w:rPr>
      </w:pPr>
      <w:r>
        <w:rPr>
          <w:lang w:val="cs-CZ"/>
        </w:rPr>
        <w:lastRenderedPageBreak/>
        <w:t xml:space="preserve">Poučení </w:t>
      </w:r>
    </w:p>
    <w:p w:rsidR="00812AB8" w:rsidRDefault="00812AB8">
      <w:pPr>
        <w:pStyle w:val="Nadpis1"/>
        <w:spacing w:before="81"/>
        <w:rPr>
          <w:lang w:val="cs-CZ"/>
        </w:rPr>
      </w:pPr>
    </w:p>
    <w:p w:rsidR="0069340B" w:rsidRPr="00812AB8" w:rsidRDefault="0069340B">
      <w:pPr>
        <w:pStyle w:val="Nadpis1"/>
        <w:spacing w:before="81"/>
        <w:rPr>
          <w:b w:val="0"/>
          <w:lang w:val="cs-CZ"/>
        </w:rPr>
      </w:pPr>
      <w:bookmarkStart w:id="0" w:name="_GoBack"/>
      <w:bookmarkEnd w:id="0"/>
      <w:r w:rsidRPr="00812AB8">
        <w:rPr>
          <w:b w:val="0"/>
          <w:lang w:val="cs-CZ"/>
        </w:rPr>
        <w:t>•</w:t>
      </w:r>
      <w:r w:rsidRPr="00812AB8">
        <w:rPr>
          <w:b w:val="0"/>
          <w:lang w:val="cs-CZ"/>
        </w:rPr>
        <w:tab/>
        <w:t>Necitlivé poznámky a sexuální obtěžování nelze tolerovat.</w:t>
      </w:r>
    </w:p>
    <w:sectPr w:rsidR="0069340B" w:rsidRPr="00812AB8">
      <w:pgSz w:w="11910" w:h="16840"/>
      <w:pgMar w:top="1340" w:right="13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B12E6"/>
    <w:multiLevelType w:val="hybridMultilevel"/>
    <w:tmpl w:val="7F8EE304"/>
    <w:lvl w:ilvl="0" w:tplc="C3E4B224">
      <w:numFmt w:val="bullet"/>
      <w:lvlText w:val=""/>
      <w:lvlJc w:val="left"/>
      <w:pPr>
        <w:ind w:left="36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861A3588">
      <w:numFmt w:val="bullet"/>
      <w:lvlText w:val="•"/>
      <w:lvlJc w:val="left"/>
      <w:pPr>
        <w:ind w:left="1102" w:hanging="361"/>
      </w:pPr>
      <w:rPr>
        <w:rFonts w:hint="default"/>
        <w:lang w:val="en-GB" w:eastAsia="en-GB" w:bidi="en-GB"/>
      </w:rPr>
    </w:lvl>
    <w:lvl w:ilvl="2" w:tplc="14EE3B4C">
      <w:numFmt w:val="bullet"/>
      <w:lvlText w:val="•"/>
      <w:lvlJc w:val="left"/>
      <w:pPr>
        <w:ind w:left="1845" w:hanging="361"/>
      </w:pPr>
      <w:rPr>
        <w:rFonts w:hint="default"/>
        <w:lang w:val="en-GB" w:eastAsia="en-GB" w:bidi="en-GB"/>
      </w:rPr>
    </w:lvl>
    <w:lvl w:ilvl="3" w:tplc="38F0A28E">
      <w:numFmt w:val="bullet"/>
      <w:lvlText w:val="•"/>
      <w:lvlJc w:val="left"/>
      <w:pPr>
        <w:ind w:left="2588" w:hanging="361"/>
      </w:pPr>
      <w:rPr>
        <w:rFonts w:hint="default"/>
        <w:lang w:val="en-GB" w:eastAsia="en-GB" w:bidi="en-GB"/>
      </w:rPr>
    </w:lvl>
    <w:lvl w:ilvl="4" w:tplc="CB8C70B0">
      <w:numFmt w:val="bullet"/>
      <w:lvlText w:val="•"/>
      <w:lvlJc w:val="left"/>
      <w:pPr>
        <w:ind w:left="3331" w:hanging="361"/>
      </w:pPr>
      <w:rPr>
        <w:rFonts w:hint="default"/>
        <w:lang w:val="en-GB" w:eastAsia="en-GB" w:bidi="en-GB"/>
      </w:rPr>
    </w:lvl>
    <w:lvl w:ilvl="5" w:tplc="99003FD8">
      <w:numFmt w:val="bullet"/>
      <w:lvlText w:val="•"/>
      <w:lvlJc w:val="left"/>
      <w:pPr>
        <w:ind w:left="4073" w:hanging="361"/>
      </w:pPr>
      <w:rPr>
        <w:rFonts w:hint="default"/>
        <w:lang w:val="en-GB" w:eastAsia="en-GB" w:bidi="en-GB"/>
      </w:rPr>
    </w:lvl>
    <w:lvl w:ilvl="6" w:tplc="8C147932">
      <w:numFmt w:val="bullet"/>
      <w:lvlText w:val="•"/>
      <w:lvlJc w:val="left"/>
      <w:pPr>
        <w:ind w:left="4816" w:hanging="361"/>
      </w:pPr>
      <w:rPr>
        <w:rFonts w:hint="default"/>
        <w:lang w:val="en-GB" w:eastAsia="en-GB" w:bidi="en-GB"/>
      </w:rPr>
    </w:lvl>
    <w:lvl w:ilvl="7" w:tplc="EF6A3CB2">
      <w:numFmt w:val="bullet"/>
      <w:lvlText w:val="•"/>
      <w:lvlJc w:val="left"/>
      <w:pPr>
        <w:ind w:left="5559" w:hanging="361"/>
      </w:pPr>
      <w:rPr>
        <w:rFonts w:hint="default"/>
        <w:lang w:val="en-GB" w:eastAsia="en-GB" w:bidi="en-GB"/>
      </w:rPr>
    </w:lvl>
    <w:lvl w:ilvl="8" w:tplc="0AF6E9EA">
      <w:numFmt w:val="bullet"/>
      <w:lvlText w:val="•"/>
      <w:lvlJc w:val="left"/>
      <w:pPr>
        <w:ind w:left="6302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37BB52B2"/>
    <w:multiLevelType w:val="hybridMultilevel"/>
    <w:tmpl w:val="95EAA16A"/>
    <w:lvl w:ilvl="0" w:tplc="F2B0D3E8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1B96BD4C">
      <w:numFmt w:val="bullet"/>
      <w:lvlText w:val="•"/>
      <w:lvlJc w:val="left"/>
      <w:pPr>
        <w:ind w:left="1682" w:hanging="361"/>
      </w:pPr>
      <w:rPr>
        <w:rFonts w:hint="default"/>
        <w:lang w:val="en-GB" w:eastAsia="en-GB" w:bidi="en-GB"/>
      </w:rPr>
    </w:lvl>
    <w:lvl w:ilvl="2" w:tplc="9F3A09BA">
      <w:numFmt w:val="bullet"/>
      <w:lvlText w:val="•"/>
      <w:lvlJc w:val="left"/>
      <w:pPr>
        <w:ind w:left="2525" w:hanging="361"/>
      </w:pPr>
      <w:rPr>
        <w:rFonts w:hint="default"/>
        <w:lang w:val="en-GB" w:eastAsia="en-GB" w:bidi="en-GB"/>
      </w:rPr>
    </w:lvl>
    <w:lvl w:ilvl="3" w:tplc="A59A6D2E">
      <w:numFmt w:val="bullet"/>
      <w:lvlText w:val="•"/>
      <w:lvlJc w:val="left"/>
      <w:pPr>
        <w:ind w:left="3367" w:hanging="361"/>
      </w:pPr>
      <w:rPr>
        <w:rFonts w:hint="default"/>
        <w:lang w:val="en-GB" w:eastAsia="en-GB" w:bidi="en-GB"/>
      </w:rPr>
    </w:lvl>
    <w:lvl w:ilvl="4" w:tplc="FDC29A18">
      <w:numFmt w:val="bullet"/>
      <w:lvlText w:val="•"/>
      <w:lvlJc w:val="left"/>
      <w:pPr>
        <w:ind w:left="4210" w:hanging="361"/>
      </w:pPr>
      <w:rPr>
        <w:rFonts w:hint="default"/>
        <w:lang w:val="en-GB" w:eastAsia="en-GB" w:bidi="en-GB"/>
      </w:rPr>
    </w:lvl>
    <w:lvl w:ilvl="5" w:tplc="0AEEA57E">
      <w:numFmt w:val="bullet"/>
      <w:lvlText w:val="•"/>
      <w:lvlJc w:val="left"/>
      <w:pPr>
        <w:ind w:left="5053" w:hanging="361"/>
      </w:pPr>
      <w:rPr>
        <w:rFonts w:hint="default"/>
        <w:lang w:val="en-GB" w:eastAsia="en-GB" w:bidi="en-GB"/>
      </w:rPr>
    </w:lvl>
    <w:lvl w:ilvl="6" w:tplc="58505380">
      <w:numFmt w:val="bullet"/>
      <w:lvlText w:val="•"/>
      <w:lvlJc w:val="left"/>
      <w:pPr>
        <w:ind w:left="5895" w:hanging="361"/>
      </w:pPr>
      <w:rPr>
        <w:rFonts w:hint="default"/>
        <w:lang w:val="en-GB" w:eastAsia="en-GB" w:bidi="en-GB"/>
      </w:rPr>
    </w:lvl>
    <w:lvl w:ilvl="7" w:tplc="B4A6B3FC">
      <w:numFmt w:val="bullet"/>
      <w:lvlText w:val="•"/>
      <w:lvlJc w:val="left"/>
      <w:pPr>
        <w:ind w:left="6738" w:hanging="361"/>
      </w:pPr>
      <w:rPr>
        <w:rFonts w:hint="default"/>
        <w:lang w:val="en-GB" w:eastAsia="en-GB" w:bidi="en-GB"/>
      </w:rPr>
    </w:lvl>
    <w:lvl w:ilvl="8" w:tplc="6EFAD65A">
      <w:numFmt w:val="bullet"/>
      <w:lvlText w:val="•"/>
      <w:lvlJc w:val="left"/>
      <w:pPr>
        <w:ind w:left="7581" w:hanging="361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49"/>
    <w:rsid w:val="000E05E1"/>
    <w:rsid w:val="00332378"/>
    <w:rsid w:val="005672AD"/>
    <w:rsid w:val="0069340B"/>
    <w:rsid w:val="006D2C49"/>
    <w:rsid w:val="00774DDC"/>
    <w:rsid w:val="00812AB8"/>
    <w:rsid w:val="00923A6D"/>
    <w:rsid w:val="00A079AE"/>
    <w:rsid w:val="00AF11D7"/>
    <w:rsid w:val="00F33FB7"/>
    <w:rsid w:val="00F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75AE9"/>
  <w15:docId w15:val="{01BC265B-3C89-4218-B074-A28F1CE0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Nadpis1">
    <w:name w:val="heading 1"/>
    <w:basedOn w:val="Normln"/>
    <w:uiPriority w:val="9"/>
    <w:qFormat/>
    <w:pPr>
      <w:ind w:left="12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839" w:hanging="360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6934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40B"/>
    <w:rPr>
      <w:rFonts w:ascii="Segoe UI" w:eastAsia="Verdana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442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London2012</dc:creator>
  <cp:lastModifiedBy>Irena Vicarova</cp:lastModifiedBy>
  <cp:revision>6</cp:revision>
  <dcterms:created xsi:type="dcterms:W3CDTF">2019-01-04T13:10:00Z</dcterms:created>
  <dcterms:modified xsi:type="dcterms:W3CDTF">2019-01-20T13:11:00Z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2018-10-13T00:00:00Z</vt:filetime>
  </property>
</Properties>
</file>