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73" w:rsidRPr="005C6B9A" w:rsidRDefault="00C60F59">
      <w:pPr>
        <w:pStyle w:val="Zkladntext"/>
        <w:spacing w:before="32"/>
        <w:ind w:right="115"/>
        <w:jc w:val="right"/>
        <w:rPr>
          <w:rFonts w:ascii="Trebuchet MS"/>
          <w:lang w:val="cs-CZ"/>
        </w:rPr>
      </w:pPr>
      <w:r w:rsidRPr="005C6B9A">
        <w:rPr>
          <w:rFonts w:ascii="Trebuchet MS"/>
          <w:w w:val="95"/>
          <w:lang w:val="cs-CZ"/>
        </w:rPr>
        <w:t>Rozhodnut</w:t>
      </w:r>
      <w:r w:rsidRPr="005C6B9A">
        <w:rPr>
          <w:rFonts w:ascii="Trebuchet MS"/>
          <w:w w:val="95"/>
          <w:lang w:val="cs-CZ"/>
        </w:rPr>
        <w:t>í</w:t>
      </w:r>
      <w:r w:rsidRPr="005C6B9A">
        <w:rPr>
          <w:rFonts w:ascii="Trebuchet MS"/>
          <w:w w:val="95"/>
          <w:lang w:val="cs-CZ"/>
        </w:rPr>
        <w:t xml:space="preserve"> N</w:t>
      </w:r>
      <w:r w:rsidRPr="005C6B9A">
        <w:rPr>
          <w:rFonts w:ascii="Trebuchet MS"/>
          <w:w w:val="95"/>
          <w:lang w:val="cs-CZ"/>
        </w:rPr>
        <w:t>á</w:t>
      </w:r>
      <w:r w:rsidRPr="005C6B9A">
        <w:rPr>
          <w:rFonts w:ascii="Trebuchet MS"/>
          <w:w w:val="95"/>
          <w:lang w:val="cs-CZ"/>
        </w:rPr>
        <w:t>rodn</w:t>
      </w:r>
      <w:r w:rsidRPr="005C6B9A">
        <w:rPr>
          <w:rFonts w:ascii="Trebuchet MS"/>
          <w:w w:val="95"/>
          <w:lang w:val="cs-CZ"/>
        </w:rPr>
        <w:t>í</w:t>
      </w:r>
      <w:r w:rsidRPr="005C6B9A">
        <w:rPr>
          <w:rFonts w:ascii="Trebuchet MS"/>
          <w:w w:val="95"/>
          <w:lang w:val="cs-CZ"/>
        </w:rPr>
        <w:t>ho antidopingov</w:t>
      </w:r>
      <w:r w:rsidRPr="005C6B9A">
        <w:rPr>
          <w:rFonts w:ascii="Trebuchet MS"/>
          <w:w w:val="95"/>
          <w:lang w:val="cs-CZ"/>
        </w:rPr>
        <w:t>é</w:t>
      </w:r>
      <w:r w:rsidRPr="005C6B9A">
        <w:rPr>
          <w:rFonts w:ascii="Trebuchet MS"/>
          <w:w w:val="95"/>
          <w:lang w:val="cs-CZ"/>
        </w:rPr>
        <w:t xml:space="preserve">ho panelu (prosinec 2015) </w:t>
      </w:r>
    </w:p>
    <w:p w:rsidR="00AC0973" w:rsidRPr="005C6B9A" w:rsidRDefault="00FD65DC">
      <w:pPr>
        <w:pStyle w:val="Zkladntext"/>
        <w:spacing w:before="13"/>
        <w:ind w:right="115"/>
        <w:jc w:val="right"/>
        <w:rPr>
          <w:rFonts w:ascii="Trebuchet MS"/>
          <w:lang w:val="cs-CZ"/>
        </w:rPr>
      </w:pPr>
      <w:r w:rsidRPr="005C6B9A">
        <w:rPr>
          <w:rFonts w:ascii="Trebuchet MS"/>
          <w:w w:val="95"/>
          <w:lang w:val="cs-CZ"/>
        </w:rPr>
        <w:t>UK</w:t>
      </w:r>
      <w:r w:rsidRPr="005C6B9A">
        <w:rPr>
          <w:rFonts w:ascii="Trebuchet MS"/>
          <w:spacing w:val="-31"/>
          <w:w w:val="95"/>
          <w:lang w:val="cs-CZ"/>
        </w:rPr>
        <w:t xml:space="preserve"> </w:t>
      </w:r>
      <w:r w:rsidRPr="005C6B9A">
        <w:rPr>
          <w:rFonts w:ascii="Trebuchet MS"/>
          <w:w w:val="95"/>
          <w:lang w:val="cs-CZ"/>
        </w:rPr>
        <w:t>Anti-Doping</w:t>
      </w:r>
      <w:r w:rsidRPr="005C6B9A">
        <w:rPr>
          <w:rFonts w:ascii="Trebuchet MS"/>
          <w:spacing w:val="-30"/>
          <w:w w:val="95"/>
          <w:lang w:val="cs-CZ"/>
        </w:rPr>
        <w:t xml:space="preserve"> </w:t>
      </w:r>
      <w:r w:rsidRPr="005C6B9A">
        <w:rPr>
          <w:rFonts w:ascii="Trebuchet MS"/>
          <w:w w:val="95"/>
          <w:lang w:val="cs-CZ"/>
        </w:rPr>
        <w:t>v</w:t>
      </w:r>
      <w:r w:rsidRPr="005C6B9A">
        <w:rPr>
          <w:rFonts w:ascii="Trebuchet MS"/>
          <w:spacing w:val="-32"/>
          <w:w w:val="95"/>
          <w:lang w:val="cs-CZ"/>
        </w:rPr>
        <w:t xml:space="preserve"> </w:t>
      </w:r>
      <w:r w:rsidR="00C60F59" w:rsidRPr="005C6B9A">
        <w:rPr>
          <w:rFonts w:ascii="Trebuchet MS"/>
          <w:w w:val="95"/>
          <w:lang w:val="cs-CZ"/>
        </w:rPr>
        <w:t>Hr</w:t>
      </w:r>
      <w:r w:rsidR="00C60F59" w:rsidRPr="005C6B9A">
        <w:rPr>
          <w:rFonts w:ascii="Trebuchet MS"/>
          <w:w w:val="95"/>
          <w:lang w:val="cs-CZ"/>
        </w:rPr>
        <w:t>áč</w:t>
      </w:r>
      <w:r w:rsidR="00C60F59" w:rsidRPr="005C6B9A">
        <w:rPr>
          <w:rFonts w:ascii="Trebuchet MS"/>
          <w:spacing w:val="-32"/>
          <w:w w:val="95"/>
          <w:lang w:val="cs-CZ"/>
        </w:rPr>
        <w:t xml:space="preserve"> </w:t>
      </w:r>
      <w:r w:rsidRPr="005C6B9A">
        <w:rPr>
          <w:rFonts w:ascii="Trebuchet MS"/>
          <w:w w:val="95"/>
          <w:lang w:val="cs-CZ"/>
        </w:rPr>
        <w:t>C</w:t>
      </w:r>
    </w:p>
    <w:p w:rsidR="00AC0973" w:rsidRPr="005C6B9A" w:rsidRDefault="00AC0973">
      <w:pPr>
        <w:pStyle w:val="Zkladntext"/>
        <w:rPr>
          <w:rFonts w:ascii="Trebuchet MS"/>
          <w:sz w:val="20"/>
          <w:lang w:val="cs-CZ"/>
        </w:rPr>
      </w:pPr>
    </w:p>
    <w:p w:rsidR="00AC0973" w:rsidRPr="005C6B9A" w:rsidRDefault="00AC0973">
      <w:pPr>
        <w:pStyle w:val="Zkladntext"/>
        <w:rPr>
          <w:rFonts w:ascii="Trebuchet MS"/>
          <w:sz w:val="20"/>
          <w:lang w:val="cs-CZ"/>
        </w:rPr>
      </w:pPr>
    </w:p>
    <w:p w:rsidR="00AC0973" w:rsidRPr="005C6B9A" w:rsidRDefault="00AC0973">
      <w:pPr>
        <w:pStyle w:val="Zkladntext"/>
        <w:rPr>
          <w:rFonts w:ascii="Trebuchet MS"/>
          <w:sz w:val="20"/>
          <w:lang w:val="cs-CZ"/>
        </w:rPr>
      </w:pPr>
    </w:p>
    <w:p w:rsidR="003C02AF" w:rsidRPr="005C6B9A" w:rsidRDefault="003C02AF">
      <w:pPr>
        <w:spacing w:before="218"/>
        <w:ind w:left="1254"/>
        <w:rPr>
          <w:b/>
          <w:sz w:val="28"/>
          <w:lang w:val="cs-CZ"/>
        </w:rPr>
      </w:pPr>
      <w:r w:rsidRPr="005C6B9A">
        <w:rPr>
          <w:b/>
          <w:sz w:val="28"/>
          <w:lang w:val="cs-CZ"/>
        </w:rPr>
        <w:t xml:space="preserve">Případ č. 6 – Přítomnost zakázané látky </w:t>
      </w:r>
    </w:p>
    <w:p w:rsidR="00AC0973" w:rsidRPr="005C6B9A" w:rsidRDefault="00AC0973">
      <w:pPr>
        <w:spacing w:before="218"/>
        <w:ind w:left="1254"/>
        <w:rPr>
          <w:b/>
          <w:sz w:val="28"/>
          <w:lang w:val="cs-CZ"/>
        </w:rPr>
      </w:pPr>
    </w:p>
    <w:p w:rsidR="00AC0973" w:rsidRPr="005C6B9A" w:rsidRDefault="00AC0973">
      <w:pPr>
        <w:pStyle w:val="Zkladntext"/>
        <w:rPr>
          <w:b/>
          <w:sz w:val="34"/>
          <w:lang w:val="cs-CZ"/>
        </w:rPr>
      </w:pPr>
    </w:p>
    <w:p w:rsidR="00AC0973" w:rsidRPr="005C6B9A" w:rsidRDefault="00AC0973">
      <w:pPr>
        <w:pStyle w:val="Zkladntext"/>
        <w:rPr>
          <w:b/>
          <w:sz w:val="34"/>
          <w:lang w:val="cs-CZ"/>
        </w:rPr>
      </w:pPr>
    </w:p>
    <w:p w:rsidR="00AC0973" w:rsidRPr="005C6B9A" w:rsidRDefault="00470435">
      <w:pPr>
        <w:pStyle w:val="Nadpis1"/>
        <w:spacing w:before="224"/>
        <w:rPr>
          <w:lang w:val="cs-CZ"/>
        </w:rPr>
      </w:pPr>
      <w:r w:rsidRPr="005C6B9A">
        <w:rPr>
          <w:lang w:val="cs-CZ"/>
        </w:rPr>
        <w:t xml:space="preserve">Klíčová slova </w:t>
      </w:r>
    </w:p>
    <w:p w:rsidR="00AC0973" w:rsidRPr="005C6B9A" w:rsidRDefault="00AC0973">
      <w:pPr>
        <w:pStyle w:val="Zkladntext"/>
        <w:spacing w:before="8"/>
        <w:rPr>
          <w:b/>
          <w:sz w:val="30"/>
          <w:lang w:val="cs-CZ"/>
        </w:rPr>
      </w:pPr>
    </w:p>
    <w:p w:rsidR="00AC0973" w:rsidRPr="005C6B9A" w:rsidRDefault="00470435">
      <w:pPr>
        <w:spacing w:line="360" w:lineRule="auto"/>
        <w:ind w:left="100" w:hanging="1"/>
        <w:rPr>
          <w:i/>
          <w:lang w:val="cs-CZ"/>
        </w:rPr>
      </w:pPr>
      <w:r w:rsidRPr="005C6B9A">
        <w:rPr>
          <w:i/>
          <w:lang w:val="cs-CZ"/>
        </w:rPr>
        <w:t xml:space="preserve">Úmysl; Anabolický steroid; </w:t>
      </w:r>
      <w:r w:rsidR="00D42DE7" w:rsidRPr="005C6B9A">
        <w:rPr>
          <w:i/>
          <w:lang w:val="cs-CZ"/>
        </w:rPr>
        <w:t>Školení a vzdělávání zaměřené proti doping</w:t>
      </w:r>
      <w:r w:rsidR="00C60F59">
        <w:rPr>
          <w:i/>
          <w:lang w:val="cs-CZ"/>
        </w:rPr>
        <w:t>u</w:t>
      </w:r>
      <w:r w:rsidR="00D42DE7" w:rsidRPr="005C6B9A">
        <w:rPr>
          <w:i/>
          <w:lang w:val="cs-CZ"/>
        </w:rPr>
        <w:t>; Nákup přes internet; Zavádějící označení; Kontaminace; Výzkum;</w:t>
      </w:r>
      <w:r w:rsidR="00FD65DC" w:rsidRPr="005C6B9A">
        <w:rPr>
          <w:i/>
          <w:lang w:val="cs-CZ"/>
        </w:rPr>
        <w:t xml:space="preserve"> </w:t>
      </w:r>
      <w:r w:rsidR="00FD65DC" w:rsidRPr="005C6B9A">
        <w:rPr>
          <w:i/>
          <w:color w:val="0070C0"/>
          <w:lang w:val="cs-CZ"/>
        </w:rPr>
        <w:t>Doping</w:t>
      </w:r>
    </w:p>
    <w:p w:rsidR="00AC0973" w:rsidRPr="005C6B9A" w:rsidRDefault="00AC0973">
      <w:pPr>
        <w:pStyle w:val="Zkladntext"/>
        <w:rPr>
          <w:i/>
          <w:sz w:val="26"/>
          <w:lang w:val="cs-CZ"/>
        </w:rPr>
      </w:pPr>
    </w:p>
    <w:p w:rsidR="00AC0973" w:rsidRPr="005C6B9A" w:rsidRDefault="00AC0973">
      <w:pPr>
        <w:pStyle w:val="Zkladntext"/>
        <w:spacing w:before="7"/>
        <w:rPr>
          <w:i/>
          <w:sz w:val="35"/>
          <w:lang w:val="cs-CZ"/>
        </w:rPr>
      </w:pPr>
    </w:p>
    <w:p w:rsidR="00AC0973" w:rsidRPr="005C6B9A" w:rsidRDefault="00D42DE7">
      <w:pPr>
        <w:pStyle w:val="Nadpis1"/>
        <w:rPr>
          <w:lang w:val="cs-CZ"/>
        </w:rPr>
      </w:pPr>
      <w:r w:rsidRPr="005C6B9A">
        <w:rPr>
          <w:lang w:val="cs-CZ"/>
        </w:rPr>
        <w:t xml:space="preserve">Shrnutí </w:t>
      </w:r>
    </w:p>
    <w:p w:rsidR="00AC0973" w:rsidRPr="005C6B9A" w:rsidRDefault="00AC0973">
      <w:pPr>
        <w:pStyle w:val="Zkladntext"/>
        <w:spacing w:before="9"/>
        <w:rPr>
          <w:b/>
          <w:sz w:val="30"/>
          <w:lang w:val="cs-CZ"/>
        </w:rPr>
      </w:pPr>
    </w:p>
    <w:p w:rsidR="00AC0973" w:rsidRPr="005C6B9A" w:rsidRDefault="00D42DE7" w:rsidP="005C6B9A">
      <w:pPr>
        <w:pStyle w:val="Zkladntext"/>
        <w:spacing w:line="360" w:lineRule="auto"/>
        <w:ind w:left="100" w:right="114" w:hanging="1"/>
        <w:jc w:val="both"/>
        <w:rPr>
          <w:sz w:val="26"/>
          <w:lang w:val="cs-CZ"/>
        </w:rPr>
      </w:pPr>
      <w:r w:rsidRPr="005C6B9A">
        <w:rPr>
          <w:lang w:val="cs-CZ"/>
        </w:rPr>
        <w:t xml:space="preserve">Hráč C byl obviněn z porušení dopingových pravidel dle Článku 2.1 Světového antidopingového kodexu z roku 2015 za přítomnost metabolitů </w:t>
      </w:r>
      <w:proofErr w:type="spellStart"/>
      <w:r w:rsidRPr="005C6B9A">
        <w:rPr>
          <w:lang w:val="cs-CZ"/>
        </w:rPr>
        <w:t>dehydrochlormetyltestosteronu</w:t>
      </w:r>
      <w:proofErr w:type="spellEnd"/>
      <w:r w:rsidRPr="005C6B9A">
        <w:rPr>
          <w:lang w:val="cs-CZ"/>
        </w:rPr>
        <w:t xml:space="preserve"> (“DT”), tedy zakázané látky. Vzorek moči byl Sportovci C odebrán 8. června 2015. Vzorek byl podroben analýze v souladu s Mezinárodními laboratorními pravidly WADA</w:t>
      </w:r>
      <w:r w:rsidR="00C60F59">
        <w:rPr>
          <w:lang w:val="cs-CZ"/>
        </w:rPr>
        <w:t xml:space="preserve"> s v</w:t>
      </w:r>
      <w:r w:rsidRPr="005C6B9A">
        <w:rPr>
          <w:lang w:val="cs-CZ"/>
        </w:rPr>
        <w:t>ýsledkem pozitivní</w:t>
      </w:r>
      <w:r w:rsidR="00C60F59">
        <w:rPr>
          <w:lang w:val="cs-CZ"/>
        </w:rPr>
        <w:t>ho</w:t>
      </w:r>
      <w:r w:rsidRPr="005C6B9A">
        <w:rPr>
          <w:lang w:val="cs-CZ"/>
        </w:rPr>
        <w:t xml:space="preserve"> laboratorní</w:t>
      </w:r>
      <w:r w:rsidR="00C60F59">
        <w:rPr>
          <w:lang w:val="cs-CZ"/>
        </w:rPr>
        <w:t>ho</w:t>
      </w:r>
      <w:r w:rsidRPr="005C6B9A">
        <w:rPr>
          <w:lang w:val="cs-CZ"/>
        </w:rPr>
        <w:t xml:space="preserve"> nález</w:t>
      </w:r>
      <w:r w:rsidR="00C60F59">
        <w:rPr>
          <w:lang w:val="cs-CZ"/>
        </w:rPr>
        <w:t>u</w:t>
      </w:r>
      <w:r w:rsidRPr="005C6B9A">
        <w:rPr>
          <w:lang w:val="cs-CZ"/>
        </w:rPr>
        <w:t xml:space="preserve"> na DT. Podle dopingových pravidel UK Anti-doping </w:t>
      </w:r>
      <w:proofErr w:type="spellStart"/>
      <w:r w:rsidRPr="005C6B9A">
        <w:rPr>
          <w:lang w:val="cs-CZ"/>
        </w:rPr>
        <w:t>Rules</w:t>
      </w:r>
      <w:proofErr w:type="spellEnd"/>
      <w:r w:rsidRPr="005C6B9A">
        <w:rPr>
          <w:lang w:val="cs-CZ"/>
        </w:rPr>
        <w:t xml:space="preserve"> přijatých Velšským svazem r</w:t>
      </w:r>
      <w:r w:rsidR="00C60F59">
        <w:rPr>
          <w:lang w:val="cs-CZ"/>
        </w:rPr>
        <w:t>a</w:t>
      </w:r>
      <w:r w:rsidRPr="005C6B9A">
        <w:rPr>
          <w:lang w:val="cs-CZ"/>
        </w:rPr>
        <w:t xml:space="preserve">gby (WRU) byl případ předán k vyřešení Národnímu </w:t>
      </w:r>
      <w:r w:rsidR="005C6B9A">
        <w:rPr>
          <w:lang w:val="cs-CZ"/>
        </w:rPr>
        <w:t>anti</w:t>
      </w:r>
      <w:r w:rsidRPr="005C6B9A">
        <w:rPr>
          <w:lang w:val="cs-CZ"/>
        </w:rPr>
        <w:t>dopingovému panelu.</w:t>
      </w:r>
    </w:p>
    <w:p w:rsidR="00AC0973" w:rsidRPr="005C6B9A" w:rsidRDefault="00AC0973">
      <w:pPr>
        <w:pStyle w:val="Zkladntext"/>
        <w:rPr>
          <w:sz w:val="26"/>
          <w:lang w:val="cs-CZ"/>
        </w:rPr>
      </w:pPr>
    </w:p>
    <w:p w:rsidR="00AC0973" w:rsidRPr="005C6B9A" w:rsidRDefault="00AC0973">
      <w:pPr>
        <w:pStyle w:val="Zkladntext"/>
        <w:spacing w:before="5"/>
        <w:rPr>
          <w:sz w:val="20"/>
          <w:lang w:val="cs-CZ"/>
        </w:rPr>
      </w:pPr>
    </w:p>
    <w:p w:rsidR="00AC0973" w:rsidRPr="005C6B9A" w:rsidRDefault="00D42DE7">
      <w:pPr>
        <w:pStyle w:val="Nadpis1"/>
        <w:spacing w:before="1"/>
        <w:rPr>
          <w:lang w:val="cs-CZ"/>
        </w:rPr>
      </w:pPr>
      <w:r w:rsidRPr="005C6B9A">
        <w:rPr>
          <w:lang w:val="cs-CZ"/>
        </w:rPr>
        <w:t xml:space="preserve">Kontext </w:t>
      </w:r>
    </w:p>
    <w:p w:rsidR="00AC0973" w:rsidRPr="005C6B9A" w:rsidRDefault="00AC0973">
      <w:pPr>
        <w:pStyle w:val="Zkladntext"/>
        <w:spacing w:before="8"/>
        <w:rPr>
          <w:b/>
          <w:sz w:val="30"/>
          <w:lang w:val="cs-CZ"/>
        </w:rPr>
      </w:pPr>
    </w:p>
    <w:p w:rsidR="00AC0973" w:rsidRPr="005C6B9A" w:rsidRDefault="00D42DE7">
      <w:pPr>
        <w:pStyle w:val="Zkladntext"/>
        <w:ind w:left="100"/>
        <w:rPr>
          <w:lang w:val="cs-CZ"/>
        </w:rPr>
      </w:pPr>
      <w:r w:rsidRPr="005C6B9A">
        <w:rPr>
          <w:lang w:val="cs-CZ"/>
        </w:rPr>
        <w:t xml:space="preserve">V roce 2010 byla </w:t>
      </w:r>
      <w:r w:rsidRPr="00CA197E">
        <w:rPr>
          <w:highlight w:val="yellow"/>
          <w:lang w:val="cs-CZ"/>
        </w:rPr>
        <w:t>Hráči C diagnostikována dyslexie a dyspra</w:t>
      </w:r>
      <w:r w:rsidR="00C60F59" w:rsidRPr="00CA197E">
        <w:rPr>
          <w:highlight w:val="yellow"/>
          <w:lang w:val="cs-CZ"/>
        </w:rPr>
        <w:t>x</w:t>
      </w:r>
      <w:r w:rsidRPr="00CA197E">
        <w:rPr>
          <w:highlight w:val="yellow"/>
          <w:lang w:val="cs-CZ"/>
        </w:rPr>
        <w:t>ie.</w:t>
      </w:r>
      <w:r w:rsidRPr="005C6B9A">
        <w:rPr>
          <w:lang w:val="cs-CZ"/>
        </w:rPr>
        <w:t xml:space="preserve"> </w:t>
      </w:r>
    </w:p>
    <w:p w:rsidR="00AC0973" w:rsidRPr="005C6B9A" w:rsidRDefault="00AC0973">
      <w:pPr>
        <w:pStyle w:val="Zkladntext"/>
        <w:spacing w:before="9"/>
        <w:rPr>
          <w:sz w:val="30"/>
          <w:lang w:val="cs-CZ"/>
        </w:rPr>
      </w:pPr>
    </w:p>
    <w:p w:rsidR="00AC0973" w:rsidRPr="005C6B9A" w:rsidRDefault="00001029" w:rsidP="005C6B9A">
      <w:pPr>
        <w:pStyle w:val="Zkladntext"/>
        <w:spacing w:line="360" w:lineRule="auto"/>
        <w:ind w:left="100" w:right="113"/>
        <w:jc w:val="both"/>
        <w:rPr>
          <w:lang w:val="cs-CZ"/>
        </w:rPr>
      </w:pPr>
      <w:r w:rsidRPr="005C6B9A">
        <w:rPr>
          <w:lang w:val="cs-CZ"/>
        </w:rPr>
        <w:t>Hráč C si na Amazonu koupil výrobek jménem “M-Sten” poté, co v posilovně slyšel jiného kulturistu mluvit o tom, že ho bere. Hráč C začal výrobek užívat, ale brzo přestal, jelikož začal pociťovat vedlejší účinky. Seznam látek obsažených ve výrobku nebylo možné vzhledem k</w:t>
      </w:r>
      <w:r w:rsidR="00C60F59">
        <w:rPr>
          <w:lang w:val="cs-CZ"/>
        </w:rPr>
        <w:t> </w:t>
      </w:r>
      <w:r w:rsidRPr="005C6B9A">
        <w:rPr>
          <w:lang w:val="cs-CZ"/>
        </w:rPr>
        <w:t>malé</w:t>
      </w:r>
      <w:r w:rsidR="00C60F59">
        <w:rPr>
          <w:lang w:val="cs-CZ"/>
        </w:rPr>
        <w:t xml:space="preserve"> </w:t>
      </w:r>
      <w:r w:rsidRPr="005C6B9A">
        <w:rPr>
          <w:lang w:val="cs-CZ"/>
        </w:rPr>
        <w:t>velikosti písma přečíst. Hráč si vyhledal informace o výrobku na internetu a zjistil, že obsahuje derivát steroid</w:t>
      </w:r>
      <w:r w:rsidR="00C60F59">
        <w:rPr>
          <w:lang w:val="cs-CZ"/>
        </w:rPr>
        <w:t>u</w:t>
      </w:r>
      <w:r w:rsidRPr="005C6B9A">
        <w:rPr>
          <w:lang w:val="cs-CZ"/>
        </w:rPr>
        <w:t xml:space="preserve"> jménem </w:t>
      </w:r>
      <w:proofErr w:type="spellStart"/>
      <w:r w:rsidRPr="005C6B9A">
        <w:rPr>
          <w:lang w:val="cs-CZ"/>
        </w:rPr>
        <w:t>metylstenbolon</w:t>
      </w:r>
      <w:proofErr w:type="spellEnd"/>
      <w:r w:rsidRPr="005C6B9A">
        <w:rPr>
          <w:lang w:val="cs-CZ"/>
        </w:rPr>
        <w:t xml:space="preserve">. </w:t>
      </w:r>
      <w:r w:rsidRPr="00CA197E">
        <w:rPr>
          <w:highlight w:val="yellow"/>
          <w:lang w:val="cs-CZ"/>
        </w:rPr>
        <w:t xml:space="preserve">Matka Hráče C </w:t>
      </w:r>
      <w:r w:rsidR="00C60F59" w:rsidRPr="00CA197E">
        <w:rPr>
          <w:highlight w:val="yellow"/>
          <w:lang w:val="cs-CZ"/>
        </w:rPr>
        <w:t>zkontrolovala</w:t>
      </w:r>
      <w:r w:rsidRPr="00CA197E">
        <w:rPr>
          <w:highlight w:val="yellow"/>
          <w:lang w:val="cs-CZ"/>
        </w:rPr>
        <w:t xml:space="preserve"> Seznam zakázaných látek WADA, který obsahoval </w:t>
      </w:r>
      <w:proofErr w:type="spellStart"/>
      <w:r w:rsidRPr="00CA197E">
        <w:rPr>
          <w:highlight w:val="yellow"/>
          <w:lang w:val="cs-CZ"/>
        </w:rPr>
        <w:t>stenbolon</w:t>
      </w:r>
      <w:proofErr w:type="spellEnd"/>
      <w:r w:rsidRPr="00CA197E">
        <w:rPr>
          <w:highlight w:val="yellow"/>
          <w:lang w:val="cs-CZ"/>
        </w:rPr>
        <w:t>. Poté spláchla zbývající kapsle výrobku do toalety a zahodila obal. Výrobek proto nebyl k dispozici na testování. Hráč C připustil</w:t>
      </w:r>
      <w:r w:rsidR="00C60F59" w:rsidRPr="00CA197E">
        <w:rPr>
          <w:highlight w:val="yellow"/>
          <w:lang w:val="cs-CZ"/>
        </w:rPr>
        <w:t xml:space="preserve">, </w:t>
      </w:r>
      <w:r w:rsidRPr="00CA197E">
        <w:rPr>
          <w:highlight w:val="yellow"/>
          <w:lang w:val="cs-CZ"/>
        </w:rPr>
        <w:t>že “M-Sten” obsahoval zakázanou látku, ale tvrdil, že v okamžiku požití výrobku o přítomnosti zakázané látky nevěd</w:t>
      </w:r>
      <w:r w:rsidR="00C60F59" w:rsidRPr="00CA197E">
        <w:rPr>
          <w:highlight w:val="yellow"/>
          <w:lang w:val="cs-CZ"/>
        </w:rPr>
        <w:t>ě</w:t>
      </w:r>
      <w:r w:rsidRPr="00CA197E">
        <w:rPr>
          <w:highlight w:val="yellow"/>
          <w:lang w:val="cs-CZ"/>
        </w:rPr>
        <w:t>l</w:t>
      </w:r>
      <w:r w:rsidRPr="005C6B9A">
        <w:rPr>
          <w:lang w:val="cs-CZ"/>
        </w:rPr>
        <w:t xml:space="preserve">.  </w:t>
      </w:r>
    </w:p>
    <w:p w:rsidR="00AC0973" w:rsidRPr="005C6B9A" w:rsidRDefault="00AC0973">
      <w:pPr>
        <w:pStyle w:val="Zkladntext"/>
        <w:rPr>
          <w:sz w:val="26"/>
          <w:lang w:val="cs-CZ"/>
        </w:rPr>
      </w:pPr>
    </w:p>
    <w:p w:rsidR="00AC0973" w:rsidRPr="005C6B9A" w:rsidRDefault="00AC0973">
      <w:pPr>
        <w:pStyle w:val="Zkladntext"/>
        <w:rPr>
          <w:sz w:val="26"/>
          <w:lang w:val="cs-CZ"/>
        </w:rPr>
      </w:pPr>
    </w:p>
    <w:p w:rsidR="00AC0973" w:rsidRPr="005C6B9A" w:rsidRDefault="00AC0973">
      <w:pPr>
        <w:pStyle w:val="Zkladntext"/>
        <w:spacing w:before="5"/>
        <w:rPr>
          <w:sz w:val="20"/>
          <w:lang w:val="cs-CZ"/>
        </w:rPr>
      </w:pPr>
    </w:p>
    <w:p w:rsidR="00AC0973" w:rsidRPr="005C6B9A" w:rsidRDefault="00001029">
      <w:pPr>
        <w:pStyle w:val="Nadpis1"/>
        <w:jc w:val="both"/>
        <w:rPr>
          <w:lang w:val="cs-CZ"/>
        </w:rPr>
      </w:pPr>
      <w:r w:rsidRPr="005C6B9A">
        <w:rPr>
          <w:lang w:val="cs-CZ"/>
        </w:rPr>
        <w:t xml:space="preserve">Zdůvodnění a rozhodnutí soudu </w:t>
      </w:r>
    </w:p>
    <w:p w:rsidR="00AC0973" w:rsidRPr="005C6B9A" w:rsidRDefault="00AC0973">
      <w:pPr>
        <w:pStyle w:val="Zkladntext"/>
        <w:spacing w:before="9"/>
        <w:rPr>
          <w:b/>
          <w:sz w:val="30"/>
          <w:lang w:val="cs-CZ"/>
        </w:rPr>
      </w:pPr>
    </w:p>
    <w:p w:rsidR="005F2B10" w:rsidRPr="005C6B9A" w:rsidRDefault="005F2B10">
      <w:pPr>
        <w:pStyle w:val="Zkladntext"/>
        <w:spacing w:line="360" w:lineRule="auto"/>
        <w:ind w:left="100" w:right="119"/>
        <w:jc w:val="both"/>
        <w:rPr>
          <w:lang w:val="cs-CZ"/>
        </w:rPr>
      </w:pPr>
      <w:r w:rsidRPr="005C6B9A">
        <w:rPr>
          <w:lang w:val="cs-CZ"/>
        </w:rPr>
        <w:t xml:space="preserve">V průběhu slyšení vedoucí trenér klubu </w:t>
      </w:r>
      <w:r w:rsidRPr="00CA197E">
        <w:rPr>
          <w:highlight w:val="yellow"/>
          <w:lang w:val="cs-CZ"/>
        </w:rPr>
        <w:t>Hráče C potvrdil, že Hráči nebylo poskytnuto žádné školení či vzdělávání ohledně doping</w:t>
      </w:r>
      <w:r w:rsidR="00C60F59" w:rsidRPr="00CA197E">
        <w:rPr>
          <w:highlight w:val="yellow"/>
          <w:lang w:val="cs-CZ"/>
        </w:rPr>
        <w:t>u</w:t>
      </w:r>
      <w:r w:rsidRPr="00CA197E">
        <w:rPr>
          <w:highlight w:val="yellow"/>
          <w:lang w:val="cs-CZ"/>
        </w:rPr>
        <w:t>. Rovněž se ukázalo, že se Hráč styděl</w:t>
      </w:r>
      <w:r w:rsidR="00C60F59" w:rsidRPr="00CA197E">
        <w:rPr>
          <w:highlight w:val="yellow"/>
          <w:lang w:val="cs-CZ"/>
        </w:rPr>
        <w:t xml:space="preserve"> projevit </w:t>
      </w:r>
      <w:r w:rsidRPr="00CA197E">
        <w:rPr>
          <w:highlight w:val="yellow"/>
          <w:lang w:val="cs-CZ"/>
        </w:rPr>
        <w:t>své problémy se čtením</w:t>
      </w:r>
      <w:r w:rsidR="00C60F59" w:rsidRPr="00CA197E">
        <w:rPr>
          <w:highlight w:val="yellow"/>
          <w:lang w:val="cs-CZ"/>
        </w:rPr>
        <w:t>. S</w:t>
      </w:r>
      <w:r w:rsidRPr="00CA197E">
        <w:rPr>
          <w:highlight w:val="yellow"/>
          <w:lang w:val="cs-CZ"/>
        </w:rPr>
        <w:t>oud poznamenal, že se Hráč vyhýbal kladení otázek, které by mohly u</w:t>
      </w:r>
      <w:r w:rsidR="00C60F59" w:rsidRPr="00CA197E">
        <w:rPr>
          <w:highlight w:val="yellow"/>
          <w:lang w:val="cs-CZ"/>
        </w:rPr>
        <w:t>pozornit na jeho</w:t>
      </w:r>
      <w:r w:rsidRPr="00CA197E">
        <w:rPr>
          <w:highlight w:val="yellow"/>
          <w:lang w:val="cs-CZ"/>
        </w:rPr>
        <w:t xml:space="preserve"> neznalost</w:t>
      </w:r>
      <w:r w:rsidRPr="005C6B9A">
        <w:rPr>
          <w:lang w:val="cs-CZ"/>
        </w:rPr>
        <w:t xml:space="preserve">. </w:t>
      </w:r>
    </w:p>
    <w:p w:rsidR="00AC0973" w:rsidRPr="005C6B9A" w:rsidRDefault="00AC0973">
      <w:pPr>
        <w:pStyle w:val="Zkladntext"/>
        <w:spacing w:line="360" w:lineRule="auto"/>
        <w:ind w:left="100" w:right="119"/>
        <w:jc w:val="both"/>
        <w:rPr>
          <w:lang w:val="cs-CZ"/>
        </w:rPr>
      </w:pPr>
    </w:p>
    <w:p w:rsidR="005F2B10" w:rsidRPr="005C6B9A" w:rsidRDefault="005F2B10">
      <w:pPr>
        <w:pStyle w:val="Zkladntext"/>
        <w:spacing w:line="360" w:lineRule="auto"/>
        <w:ind w:left="100" w:right="114"/>
        <w:jc w:val="both"/>
        <w:rPr>
          <w:lang w:val="cs-CZ"/>
        </w:rPr>
      </w:pPr>
      <w:r w:rsidRPr="005C6B9A">
        <w:rPr>
          <w:lang w:val="cs-CZ"/>
        </w:rPr>
        <w:t>První odborný svědek UKAD potvrdil, že metabolity DT nemohou vzniknout přirozeně. Daný odborník sice nevyloučil možnost, že DT mohlo</w:t>
      </w:r>
      <w:r w:rsidR="001675D0">
        <w:rPr>
          <w:lang w:val="cs-CZ"/>
        </w:rPr>
        <w:t xml:space="preserve"> Hráči</w:t>
      </w:r>
      <w:r w:rsidRPr="005C6B9A">
        <w:rPr>
          <w:lang w:val="cs-CZ"/>
        </w:rPr>
        <w:t xml:space="preserve"> způsobit vedlejší účinky</w:t>
      </w:r>
      <w:r w:rsidR="001675D0">
        <w:rPr>
          <w:lang w:val="cs-CZ"/>
        </w:rPr>
        <w:t>,</w:t>
      </w:r>
      <w:r w:rsidRPr="005C6B9A">
        <w:rPr>
          <w:lang w:val="cs-CZ"/>
        </w:rPr>
        <w:t xml:space="preserve"> nicméně uvedl, že DT </w:t>
      </w:r>
      <w:r w:rsidR="001675D0">
        <w:rPr>
          <w:lang w:val="cs-CZ"/>
        </w:rPr>
        <w:t xml:space="preserve">má </w:t>
      </w:r>
      <w:r w:rsidR="001675D0" w:rsidRPr="00FE3ED1">
        <w:rPr>
          <w:lang w:val="cs-CZ"/>
        </w:rPr>
        <w:t xml:space="preserve">při terapeutickém použití </w:t>
      </w:r>
      <w:r w:rsidR="001675D0" w:rsidRPr="000D7133">
        <w:rPr>
          <w:lang w:val="cs-CZ"/>
        </w:rPr>
        <w:t>k léčbě úbytku svalů</w:t>
      </w:r>
      <w:r w:rsidR="001675D0">
        <w:rPr>
          <w:lang w:val="cs-CZ"/>
        </w:rPr>
        <w:t xml:space="preserve"> slušné </w:t>
      </w:r>
      <w:r w:rsidR="005C6B9A">
        <w:rPr>
          <w:lang w:val="cs-CZ"/>
        </w:rPr>
        <w:t>výsledky,</w:t>
      </w:r>
      <w:r w:rsidR="001675D0">
        <w:rPr>
          <w:lang w:val="cs-CZ"/>
        </w:rPr>
        <w:t xml:space="preserve"> co se týče bezpečnosti</w:t>
      </w:r>
      <w:r w:rsidRPr="005C6B9A">
        <w:rPr>
          <w:lang w:val="cs-CZ"/>
        </w:rPr>
        <w:t xml:space="preserve">. Druhý odborný svědek UKAD potvrdil, že chemické struktury DT a </w:t>
      </w:r>
      <w:proofErr w:type="spellStart"/>
      <w:r w:rsidRPr="005C6B9A">
        <w:rPr>
          <w:lang w:val="cs-CZ"/>
        </w:rPr>
        <w:t>metylstenbolonu</w:t>
      </w:r>
      <w:proofErr w:type="spellEnd"/>
      <w:r w:rsidRPr="005C6B9A">
        <w:rPr>
          <w:lang w:val="cs-CZ"/>
        </w:rPr>
        <w:t xml:space="preserve"> jsou velmi odlišné a uvedl, že pozitivní laboratorní nález nemohl být zapříčiněn administrací </w:t>
      </w:r>
      <w:proofErr w:type="spellStart"/>
      <w:r w:rsidRPr="005C6B9A">
        <w:rPr>
          <w:lang w:val="cs-CZ"/>
        </w:rPr>
        <w:t>metylstenbolonu</w:t>
      </w:r>
      <w:proofErr w:type="spellEnd"/>
      <w:r w:rsidRPr="005C6B9A">
        <w:rPr>
          <w:lang w:val="cs-CZ"/>
        </w:rPr>
        <w:t xml:space="preserve">. Z toho vyplývá, že buď </w:t>
      </w:r>
      <w:r w:rsidR="001675D0" w:rsidRPr="00DC35A3">
        <w:rPr>
          <w:lang w:val="cs-CZ"/>
        </w:rPr>
        <w:t>Hráč</w:t>
      </w:r>
      <w:r w:rsidR="001675D0" w:rsidRPr="00C60F59">
        <w:rPr>
          <w:lang w:val="cs-CZ"/>
        </w:rPr>
        <w:t xml:space="preserve"> </w:t>
      </w:r>
      <w:r w:rsidRPr="005C6B9A">
        <w:rPr>
          <w:lang w:val="cs-CZ"/>
        </w:rPr>
        <w:t xml:space="preserve">bral něco jiného, nebo M-Sten obsahoval DT, i když toto nebylo </w:t>
      </w:r>
      <w:r w:rsidR="00FD65DC" w:rsidRPr="005C6B9A">
        <w:rPr>
          <w:lang w:val="cs-CZ"/>
        </w:rPr>
        <w:t xml:space="preserve">uvedeno </w:t>
      </w:r>
      <w:r w:rsidRPr="005C6B9A">
        <w:rPr>
          <w:lang w:val="cs-CZ"/>
        </w:rPr>
        <w:t>v</w:t>
      </w:r>
      <w:r w:rsidR="00FD65DC" w:rsidRPr="005C6B9A">
        <w:rPr>
          <w:lang w:val="cs-CZ"/>
        </w:rPr>
        <w:t>e složení výrobku</w:t>
      </w:r>
      <w:r w:rsidRPr="005C6B9A">
        <w:rPr>
          <w:lang w:val="cs-CZ"/>
        </w:rPr>
        <w:t xml:space="preserve">. </w:t>
      </w:r>
    </w:p>
    <w:p w:rsidR="00AC0973" w:rsidRPr="005C6B9A" w:rsidRDefault="00AC0973">
      <w:pPr>
        <w:pStyle w:val="Zkladntext"/>
        <w:spacing w:before="9"/>
        <w:rPr>
          <w:sz w:val="19"/>
          <w:lang w:val="cs-CZ"/>
        </w:rPr>
      </w:pPr>
    </w:p>
    <w:p w:rsidR="0066579E" w:rsidRPr="005C6B9A" w:rsidRDefault="0066579E">
      <w:pPr>
        <w:pStyle w:val="Zkladntext"/>
        <w:spacing w:line="360" w:lineRule="auto"/>
        <w:ind w:left="100" w:right="114" w:hanging="1"/>
        <w:jc w:val="both"/>
        <w:rPr>
          <w:lang w:val="cs-CZ"/>
        </w:rPr>
      </w:pPr>
      <w:r w:rsidRPr="00CA197E">
        <w:rPr>
          <w:highlight w:val="yellow"/>
          <w:lang w:val="cs-CZ"/>
        </w:rPr>
        <w:t>Tento případ byl atypický, jelikož z</w:t>
      </w:r>
      <w:r w:rsidR="001675D0" w:rsidRPr="00CA197E">
        <w:rPr>
          <w:highlight w:val="yellow"/>
          <w:lang w:val="cs-CZ"/>
        </w:rPr>
        <w:t>a</w:t>
      </w:r>
      <w:r w:rsidRPr="00CA197E">
        <w:rPr>
          <w:highlight w:val="yellow"/>
          <w:lang w:val="cs-CZ"/>
        </w:rPr>
        <w:t xml:space="preserve">kázaná látka obsažená v M-Sten </w:t>
      </w:r>
      <w:r w:rsidR="001675D0" w:rsidRPr="00CA197E">
        <w:rPr>
          <w:highlight w:val="yellow"/>
          <w:lang w:val="cs-CZ"/>
        </w:rPr>
        <w:t xml:space="preserve">byla odlišná </w:t>
      </w:r>
      <w:r w:rsidRPr="00CA197E">
        <w:rPr>
          <w:highlight w:val="yellow"/>
          <w:lang w:val="cs-CZ"/>
        </w:rPr>
        <w:t>od zakázané látky nalezené v organizmu Hráče C.</w:t>
      </w:r>
      <w:r w:rsidRPr="005C6B9A">
        <w:rPr>
          <w:lang w:val="cs-CZ"/>
        </w:rPr>
        <w:t xml:space="preserve"> Právní zástupce Hráče C předložil důkazy potvrzující, že případy špatného označování a kontaminace </w:t>
      </w:r>
      <w:r w:rsidR="001675D0" w:rsidRPr="006A6318">
        <w:rPr>
          <w:lang w:val="cs-CZ"/>
        </w:rPr>
        <w:t>jsou</w:t>
      </w:r>
      <w:r w:rsidR="001675D0" w:rsidRPr="00E56637">
        <w:rPr>
          <w:lang w:val="cs-CZ"/>
        </w:rPr>
        <w:t xml:space="preserve"> u </w:t>
      </w:r>
      <w:proofErr w:type="spellStart"/>
      <w:r w:rsidR="001675D0" w:rsidRPr="00E56637">
        <w:rPr>
          <w:lang w:val="cs-CZ"/>
        </w:rPr>
        <w:t>steroidových</w:t>
      </w:r>
      <w:proofErr w:type="spellEnd"/>
      <w:r w:rsidR="001675D0" w:rsidRPr="00E56637">
        <w:rPr>
          <w:lang w:val="cs-CZ"/>
        </w:rPr>
        <w:t xml:space="preserve"> doplňků prodávaných přes internet</w:t>
      </w:r>
      <w:r w:rsidR="001675D0" w:rsidRPr="001675D0">
        <w:rPr>
          <w:lang w:val="cs-CZ"/>
        </w:rPr>
        <w:t xml:space="preserve"> </w:t>
      </w:r>
      <w:r w:rsidR="001675D0" w:rsidRPr="00EE6250">
        <w:rPr>
          <w:lang w:val="cs-CZ"/>
        </w:rPr>
        <w:t>velmi rozšířené</w:t>
      </w:r>
      <w:r w:rsidRPr="005C6B9A">
        <w:rPr>
          <w:lang w:val="cs-CZ"/>
        </w:rPr>
        <w:t xml:space="preserve">. Soud vzal v úvahu </w:t>
      </w:r>
      <w:r w:rsidR="001675D0">
        <w:rPr>
          <w:lang w:val="cs-CZ"/>
        </w:rPr>
        <w:t>výskyt</w:t>
      </w:r>
      <w:r w:rsidRPr="005C6B9A">
        <w:rPr>
          <w:lang w:val="cs-CZ"/>
        </w:rPr>
        <w:t xml:space="preserve"> špatného označování a vzájemné kontaminace výrobků prodávaných online, a poznamenal, že je velmi zvláštní, že </w:t>
      </w:r>
      <w:r w:rsidR="001675D0">
        <w:rPr>
          <w:lang w:val="cs-CZ"/>
        </w:rPr>
        <w:t xml:space="preserve">ve vzorku </w:t>
      </w:r>
      <w:r w:rsidRPr="005C6B9A">
        <w:rPr>
          <w:lang w:val="cs-CZ"/>
        </w:rPr>
        <w:t>Hráč</w:t>
      </w:r>
      <w:r w:rsidR="001675D0">
        <w:rPr>
          <w:lang w:val="cs-CZ"/>
        </w:rPr>
        <w:t xml:space="preserve">e nebyl nalezen </w:t>
      </w:r>
      <w:r w:rsidRPr="005C6B9A">
        <w:rPr>
          <w:lang w:val="cs-CZ"/>
        </w:rPr>
        <w:t xml:space="preserve">očekávaný steroid – </w:t>
      </w:r>
      <w:proofErr w:type="spellStart"/>
      <w:r w:rsidRPr="005C6B9A">
        <w:rPr>
          <w:lang w:val="cs-CZ"/>
        </w:rPr>
        <w:t>Stenbolon</w:t>
      </w:r>
      <w:proofErr w:type="spellEnd"/>
      <w:r w:rsidRPr="005C6B9A">
        <w:rPr>
          <w:lang w:val="cs-CZ"/>
        </w:rPr>
        <w:t xml:space="preserve">. </w:t>
      </w:r>
    </w:p>
    <w:p w:rsidR="00AC0973" w:rsidRPr="005C6B9A" w:rsidRDefault="00AC0973">
      <w:pPr>
        <w:pStyle w:val="Zkladntext"/>
        <w:spacing w:line="360" w:lineRule="auto"/>
        <w:ind w:left="100" w:right="114" w:hanging="1"/>
        <w:jc w:val="both"/>
        <w:rPr>
          <w:lang w:val="cs-CZ"/>
        </w:rPr>
      </w:pPr>
    </w:p>
    <w:p w:rsidR="005C6B9A" w:rsidRDefault="0066579E">
      <w:pPr>
        <w:pStyle w:val="Zkladntext"/>
        <w:spacing w:line="360" w:lineRule="auto"/>
        <w:ind w:left="100" w:right="114"/>
        <w:jc w:val="both"/>
        <w:rPr>
          <w:lang w:val="cs-CZ"/>
        </w:rPr>
      </w:pPr>
      <w:r w:rsidRPr="005C6B9A">
        <w:rPr>
          <w:lang w:val="cs-CZ"/>
        </w:rPr>
        <w:t>S</w:t>
      </w:r>
      <w:r w:rsidRPr="00CA197E">
        <w:rPr>
          <w:highlight w:val="yellow"/>
          <w:lang w:val="cs-CZ"/>
        </w:rPr>
        <w:t xml:space="preserve">oud </w:t>
      </w:r>
      <w:r w:rsidR="001675D0" w:rsidRPr="00CA197E">
        <w:rPr>
          <w:highlight w:val="yellow"/>
          <w:lang w:val="cs-CZ"/>
        </w:rPr>
        <w:t>rozhodl</w:t>
      </w:r>
      <w:r w:rsidRPr="00CA197E">
        <w:rPr>
          <w:highlight w:val="yellow"/>
          <w:lang w:val="cs-CZ"/>
        </w:rPr>
        <w:t>, že chování Hráče C nebylo záměrné.</w:t>
      </w:r>
      <w:r w:rsidRPr="005C6B9A">
        <w:rPr>
          <w:lang w:val="cs-CZ"/>
        </w:rPr>
        <w:t xml:space="preserve"> K utvoření tohoto názoru přispěla </w:t>
      </w:r>
      <w:r w:rsidR="001675D0">
        <w:rPr>
          <w:lang w:val="cs-CZ"/>
        </w:rPr>
        <w:t xml:space="preserve">i </w:t>
      </w:r>
      <w:r w:rsidRPr="005C6B9A">
        <w:rPr>
          <w:lang w:val="cs-CZ"/>
        </w:rPr>
        <w:t xml:space="preserve">skutečnost, že hráči nebyly </w:t>
      </w:r>
      <w:r w:rsidR="001675D0" w:rsidRPr="00A93A10">
        <w:rPr>
          <w:lang w:val="cs-CZ"/>
        </w:rPr>
        <w:t>ze strany klubu</w:t>
      </w:r>
      <w:r w:rsidR="001675D0" w:rsidRPr="00C60F59">
        <w:rPr>
          <w:lang w:val="cs-CZ"/>
        </w:rPr>
        <w:t xml:space="preserve"> </w:t>
      </w:r>
      <w:r w:rsidRPr="005C6B9A">
        <w:rPr>
          <w:lang w:val="cs-CZ"/>
        </w:rPr>
        <w:t>poskytnuty žádné informace týkající se doping</w:t>
      </w:r>
      <w:r w:rsidR="001675D0">
        <w:rPr>
          <w:lang w:val="cs-CZ"/>
        </w:rPr>
        <w:t>u</w:t>
      </w:r>
      <w:r w:rsidRPr="005C6B9A">
        <w:rPr>
          <w:lang w:val="cs-CZ"/>
        </w:rPr>
        <w:t xml:space="preserve"> nebo výživového poradenství. Hráč se navíc kvůli svému věku, dyslexii a dyspraxii nerad </w:t>
      </w:r>
      <w:r w:rsidR="001675D0">
        <w:rPr>
          <w:lang w:val="cs-CZ"/>
        </w:rPr>
        <w:t>na věci dotazoval</w:t>
      </w:r>
      <w:r w:rsidRPr="005C6B9A">
        <w:rPr>
          <w:lang w:val="cs-CZ"/>
        </w:rPr>
        <w:t xml:space="preserve">. </w:t>
      </w:r>
      <w:r w:rsidRPr="002C4DC4">
        <w:rPr>
          <w:highlight w:val="yellow"/>
          <w:lang w:val="cs-CZ"/>
        </w:rPr>
        <w:t xml:space="preserve">Soud odmítl návrh </w:t>
      </w:r>
      <w:r w:rsidR="004F127F" w:rsidRPr="002C4DC4">
        <w:rPr>
          <w:highlight w:val="yellow"/>
          <w:lang w:val="cs-CZ"/>
        </w:rPr>
        <w:t>na verdikt Ne</w:t>
      </w:r>
      <w:r w:rsidR="001675D0" w:rsidRPr="002C4DC4">
        <w:rPr>
          <w:highlight w:val="yellow"/>
          <w:lang w:val="cs-CZ"/>
        </w:rPr>
        <w:t xml:space="preserve">existence </w:t>
      </w:r>
      <w:r w:rsidR="004F127F" w:rsidRPr="002C4DC4">
        <w:rPr>
          <w:highlight w:val="yellow"/>
          <w:lang w:val="cs-CZ"/>
        </w:rPr>
        <w:t>významné</w:t>
      </w:r>
      <w:r w:rsidR="001675D0" w:rsidRPr="002C4DC4">
        <w:rPr>
          <w:highlight w:val="yellow"/>
          <w:lang w:val="cs-CZ"/>
        </w:rPr>
        <w:t>ho</w:t>
      </w:r>
      <w:r w:rsidR="004F127F" w:rsidRPr="002C4DC4">
        <w:rPr>
          <w:highlight w:val="yellow"/>
          <w:lang w:val="cs-CZ"/>
        </w:rPr>
        <w:t xml:space="preserve"> zavinění nebo nedbalost</w:t>
      </w:r>
      <w:r w:rsidR="001675D0" w:rsidRPr="002C4DC4">
        <w:rPr>
          <w:highlight w:val="yellow"/>
          <w:lang w:val="cs-CZ"/>
        </w:rPr>
        <w:t>i</w:t>
      </w:r>
      <w:r w:rsidR="004F127F" w:rsidRPr="002C4DC4">
        <w:rPr>
          <w:highlight w:val="yellow"/>
          <w:lang w:val="cs-CZ"/>
        </w:rPr>
        <w:t xml:space="preserve"> a stanovil Hráči C zákaz činnosti na dobu dvou let.</w:t>
      </w:r>
    </w:p>
    <w:p w:rsidR="005C6B9A" w:rsidRDefault="005C6B9A">
      <w:pPr>
        <w:rPr>
          <w:lang w:val="cs-CZ"/>
        </w:rPr>
      </w:pPr>
      <w:r>
        <w:rPr>
          <w:lang w:val="cs-CZ"/>
        </w:rPr>
        <w:br w:type="page"/>
      </w:r>
    </w:p>
    <w:p w:rsidR="005C6B9A" w:rsidRDefault="004F127F" w:rsidP="005C6B9A">
      <w:pPr>
        <w:spacing w:before="1" w:line="360" w:lineRule="auto"/>
        <w:rPr>
          <w:b/>
          <w:lang w:val="cs-CZ"/>
        </w:rPr>
      </w:pPr>
      <w:r w:rsidRPr="005C6B9A">
        <w:rPr>
          <w:lang w:val="cs-CZ"/>
        </w:rPr>
        <w:lastRenderedPageBreak/>
        <w:t xml:space="preserve"> </w:t>
      </w:r>
      <w:r w:rsidR="0066579E" w:rsidRPr="005C6B9A">
        <w:rPr>
          <w:lang w:val="cs-CZ"/>
        </w:rPr>
        <w:t xml:space="preserve"> </w:t>
      </w:r>
      <w:r w:rsidR="005C6B9A" w:rsidRPr="005C6B9A">
        <w:rPr>
          <w:b/>
          <w:lang w:val="cs-CZ"/>
        </w:rPr>
        <w:t>Poučení</w:t>
      </w:r>
    </w:p>
    <w:p w:rsidR="005C6B9A" w:rsidRDefault="005C6B9A" w:rsidP="005C6B9A">
      <w:pPr>
        <w:spacing w:before="1" w:line="360" w:lineRule="auto"/>
        <w:rPr>
          <w:b/>
        </w:rPr>
      </w:pPr>
    </w:p>
    <w:p w:rsidR="005C6B9A" w:rsidRPr="002C4DC4" w:rsidRDefault="005C6B9A" w:rsidP="005C6B9A">
      <w:pPr>
        <w:numPr>
          <w:ilvl w:val="0"/>
          <w:numId w:val="2"/>
        </w:numPr>
        <w:tabs>
          <w:tab w:val="left" w:pos="360"/>
          <w:tab w:val="left" w:pos="361"/>
        </w:tabs>
        <w:spacing w:before="1" w:line="360" w:lineRule="auto"/>
        <w:ind w:hanging="360"/>
        <w:rPr>
          <w:highlight w:val="yellow"/>
          <w:lang w:val="cs-CZ"/>
        </w:rPr>
      </w:pPr>
      <w:r w:rsidRPr="002C4DC4">
        <w:rPr>
          <w:highlight w:val="yellow"/>
          <w:lang w:val="cs-CZ"/>
        </w:rPr>
        <w:t>Soud vyjádřil značné znepokojení nad nedostatečným školením ve věci dopingu ze strany klubu.</w:t>
      </w:r>
    </w:p>
    <w:p w:rsidR="005C6B9A" w:rsidRDefault="005C6B9A" w:rsidP="005C6B9A">
      <w:pPr>
        <w:pStyle w:val="Odstavecseseznamem"/>
        <w:numPr>
          <w:ilvl w:val="0"/>
          <w:numId w:val="2"/>
        </w:numPr>
        <w:spacing w:before="3" w:line="360" w:lineRule="auto"/>
      </w:pPr>
      <w:r w:rsidRPr="005C6B9A">
        <w:rPr>
          <w:lang w:val="cs-CZ"/>
        </w:rPr>
        <w:t>Při posuzovaní, zda bylo porušení záměrné či nikoliv, je možné vzít v úvahu subjektivní faktory jako objem vzdělání poskytnutého hráčům nebo jakékoliv choroby nebo postižení, jež mohou ovlivnit jejich schopnost plně pochopit rizika spojená s braním doplňků</w:t>
      </w:r>
      <w:r>
        <w:t>.</w:t>
      </w:r>
    </w:p>
    <w:p w:rsidR="00AC0973" w:rsidRPr="005C6B9A" w:rsidRDefault="00AC0973">
      <w:pPr>
        <w:pStyle w:val="Zkladntext"/>
        <w:spacing w:line="360" w:lineRule="auto"/>
        <w:ind w:left="100" w:right="114"/>
        <w:jc w:val="both"/>
        <w:rPr>
          <w:lang w:val="cs-CZ"/>
        </w:rPr>
      </w:pPr>
    </w:p>
    <w:p w:rsidR="00AC0973" w:rsidRPr="005C6B9A" w:rsidRDefault="001675D0">
      <w:pPr>
        <w:spacing w:line="360" w:lineRule="auto"/>
        <w:jc w:val="both"/>
        <w:rPr>
          <w:lang w:val="cs-CZ"/>
        </w:rPr>
        <w:sectPr w:rsidR="00AC0973" w:rsidRPr="005C6B9A">
          <w:pgSz w:w="11910" w:h="16840"/>
          <w:pgMar w:top="1340" w:right="1320" w:bottom="280" w:left="1340" w:header="708" w:footer="708" w:gutter="0"/>
          <w:cols w:space="708"/>
        </w:sectPr>
      </w:pPr>
      <w:r>
        <w:rPr>
          <w:lang w:val="cs-CZ"/>
        </w:rPr>
        <w:t xml:space="preserve"> </w:t>
      </w:r>
    </w:p>
    <w:p w:rsidR="00AC0973" w:rsidRPr="005C6B9A" w:rsidRDefault="00AC0973">
      <w:pPr>
        <w:pStyle w:val="Zkladntext"/>
        <w:spacing w:before="4"/>
        <w:rPr>
          <w:rFonts w:ascii="Times New Roman"/>
          <w:sz w:val="17"/>
          <w:lang w:val="cs-CZ"/>
        </w:rPr>
      </w:pPr>
      <w:bookmarkStart w:id="0" w:name="_GoBack"/>
      <w:bookmarkEnd w:id="0"/>
    </w:p>
    <w:sectPr w:rsidR="00AC0973" w:rsidRPr="005C6B9A">
      <w:pgSz w:w="11910" w:h="16840"/>
      <w:pgMar w:top="142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5E13"/>
    <w:multiLevelType w:val="hybridMultilevel"/>
    <w:tmpl w:val="9A2ACE46"/>
    <w:lvl w:ilvl="0" w:tplc="D764A030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60861EE">
      <w:numFmt w:val="bullet"/>
      <w:lvlText w:val="•"/>
      <w:lvlJc w:val="left"/>
      <w:pPr>
        <w:ind w:left="1192" w:hanging="361"/>
      </w:pPr>
      <w:rPr>
        <w:rFonts w:hint="default"/>
        <w:lang w:val="en-GB" w:eastAsia="en-GB" w:bidi="en-GB"/>
      </w:rPr>
    </w:lvl>
    <w:lvl w:ilvl="2" w:tplc="5A7EE83C">
      <w:numFmt w:val="bullet"/>
      <w:lvlText w:val="•"/>
      <w:lvlJc w:val="left"/>
      <w:pPr>
        <w:ind w:left="2025" w:hanging="361"/>
      </w:pPr>
      <w:rPr>
        <w:rFonts w:hint="default"/>
        <w:lang w:val="en-GB" w:eastAsia="en-GB" w:bidi="en-GB"/>
      </w:rPr>
    </w:lvl>
    <w:lvl w:ilvl="3" w:tplc="0D12DB80">
      <w:numFmt w:val="bullet"/>
      <w:lvlText w:val="•"/>
      <w:lvlJc w:val="left"/>
      <w:pPr>
        <w:ind w:left="2858" w:hanging="361"/>
      </w:pPr>
      <w:rPr>
        <w:rFonts w:hint="default"/>
        <w:lang w:val="en-GB" w:eastAsia="en-GB" w:bidi="en-GB"/>
      </w:rPr>
    </w:lvl>
    <w:lvl w:ilvl="4" w:tplc="6F9C517C">
      <w:numFmt w:val="bullet"/>
      <w:lvlText w:val="•"/>
      <w:lvlJc w:val="left"/>
      <w:pPr>
        <w:ind w:left="3690" w:hanging="361"/>
      </w:pPr>
      <w:rPr>
        <w:rFonts w:hint="default"/>
        <w:lang w:val="en-GB" w:eastAsia="en-GB" w:bidi="en-GB"/>
      </w:rPr>
    </w:lvl>
    <w:lvl w:ilvl="5" w:tplc="593851B8">
      <w:numFmt w:val="bullet"/>
      <w:lvlText w:val="•"/>
      <w:lvlJc w:val="left"/>
      <w:pPr>
        <w:ind w:left="4523" w:hanging="361"/>
      </w:pPr>
      <w:rPr>
        <w:rFonts w:hint="default"/>
        <w:lang w:val="en-GB" w:eastAsia="en-GB" w:bidi="en-GB"/>
      </w:rPr>
    </w:lvl>
    <w:lvl w:ilvl="6" w:tplc="7A24161E">
      <w:numFmt w:val="bullet"/>
      <w:lvlText w:val="•"/>
      <w:lvlJc w:val="left"/>
      <w:pPr>
        <w:ind w:left="5356" w:hanging="361"/>
      </w:pPr>
      <w:rPr>
        <w:rFonts w:hint="default"/>
        <w:lang w:val="en-GB" w:eastAsia="en-GB" w:bidi="en-GB"/>
      </w:rPr>
    </w:lvl>
    <w:lvl w:ilvl="7" w:tplc="F47E2920">
      <w:numFmt w:val="bullet"/>
      <w:lvlText w:val="•"/>
      <w:lvlJc w:val="left"/>
      <w:pPr>
        <w:ind w:left="6188" w:hanging="361"/>
      </w:pPr>
      <w:rPr>
        <w:rFonts w:hint="default"/>
        <w:lang w:val="en-GB" w:eastAsia="en-GB" w:bidi="en-GB"/>
      </w:rPr>
    </w:lvl>
    <w:lvl w:ilvl="8" w:tplc="FAC854A4">
      <w:numFmt w:val="bullet"/>
      <w:lvlText w:val="•"/>
      <w:lvlJc w:val="left"/>
      <w:pPr>
        <w:ind w:left="7021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47486A60"/>
    <w:multiLevelType w:val="hybridMultilevel"/>
    <w:tmpl w:val="5498D0BC"/>
    <w:lvl w:ilvl="0" w:tplc="4EDA6A5C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D0F60AB0">
      <w:numFmt w:val="bullet"/>
      <w:lvlText w:val="•"/>
      <w:lvlJc w:val="left"/>
      <w:pPr>
        <w:ind w:left="1192" w:hanging="361"/>
      </w:pPr>
      <w:rPr>
        <w:rFonts w:hint="default"/>
        <w:lang w:val="en-GB" w:eastAsia="en-GB" w:bidi="en-GB"/>
      </w:rPr>
    </w:lvl>
    <w:lvl w:ilvl="2" w:tplc="4148E494">
      <w:numFmt w:val="bullet"/>
      <w:lvlText w:val="•"/>
      <w:lvlJc w:val="left"/>
      <w:pPr>
        <w:ind w:left="2025" w:hanging="361"/>
      </w:pPr>
      <w:rPr>
        <w:rFonts w:hint="default"/>
        <w:lang w:val="en-GB" w:eastAsia="en-GB" w:bidi="en-GB"/>
      </w:rPr>
    </w:lvl>
    <w:lvl w:ilvl="3" w:tplc="B6E62D00">
      <w:numFmt w:val="bullet"/>
      <w:lvlText w:val="•"/>
      <w:lvlJc w:val="left"/>
      <w:pPr>
        <w:ind w:left="2857" w:hanging="361"/>
      </w:pPr>
      <w:rPr>
        <w:rFonts w:hint="default"/>
        <w:lang w:val="en-GB" w:eastAsia="en-GB" w:bidi="en-GB"/>
      </w:rPr>
    </w:lvl>
    <w:lvl w:ilvl="4" w:tplc="DB004BA4">
      <w:numFmt w:val="bullet"/>
      <w:lvlText w:val="•"/>
      <w:lvlJc w:val="left"/>
      <w:pPr>
        <w:ind w:left="3690" w:hanging="361"/>
      </w:pPr>
      <w:rPr>
        <w:rFonts w:hint="default"/>
        <w:lang w:val="en-GB" w:eastAsia="en-GB" w:bidi="en-GB"/>
      </w:rPr>
    </w:lvl>
    <w:lvl w:ilvl="5" w:tplc="4F028F40">
      <w:numFmt w:val="bullet"/>
      <w:lvlText w:val="•"/>
      <w:lvlJc w:val="left"/>
      <w:pPr>
        <w:ind w:left="4522" w:hanging="361"/>
      </w:pPr>
      <w:rPr>
        <w:rFonts w:hint="default"/>
        <w:lang w:val="en-GB" w:eastAsia="en-GB" w:bidi="en-GB"/>
      </w:rPr>
    </w:lvl>
    <w:lvl w:ilvl="6" w:tplc="1BC0EC8E">
      <w:numFmt w:val="bullet"/>
      <w:lvlText w:val="•"/>
      <w:lvlJc w:val="left"/>
      <w:pPr>
        <w:ind w:left="5355" w:hanging="361"/>
      </w:pPr>
      <w:rPr>
        <w:rFonts w:hint="default"/>
        <w:lang w:val="en-GB" w:eastAsia="en-GB" w:bidi="en-GB"/>
      </w:rPr>
    </w:lvl>
    <w:lvl w:ilvl="7" w:tplc="94A040D0">
      <w:numFmt w:val="bullet"/>
      <w:lvlText w:val="•"/>
      <w:lvlJc w:val="left"/>
      <w:pPr>
        <w:ind w:left="6187" w:hanging="361"/>
      </w:pPr>
      <w:rPr>
        <w:rFonts w:hint="default"/>
        <w:lang w:val="en-GB" w:eastAsia="en-GB" w:bidi="en-GB"/>
      </w:rPr>
    </w:lvl>
    <w:lvl w:ilvl="8" w:tplc="DF66E544">
      <w:numFmt w:val="bullet"/>
      <w:lvlText w:val="•"/>
      <w:lvlJc w:val="left"/>
      <w:pPr>
        <w:ind w:left="7020" w:hanging="36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73"/>
    <w:rsid w:val="00001029"/>
    <w:rsid w:val="001675D0"/>
    <w:rsid w:val="002B27DF"/>
    <w:rsid w:val="002C4DC4"/>
    <w:rsid w:val="003C02AF"/>
    <w:rsid w:val="00470435"/>
    <w:rsid w:val="004F127F"/>
    <w:rsid w:val="005C6B9A"/>
    <w:rsid w:val="005F2B10"/>
    <w:rsid w:val="0066579E"/>
    <w:rsid w:val="009B10F2"/>
    <w:rsid w:val="00AC0973"/>
    <w:rsid w:val="00C60F59"/>
    <w:rsid w:val="00CA197E"/>
    <w:rsid w:val="00D42DE7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F31CB-E2CB-43CC-9065-453D6B53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0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60F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F59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London2012</dc:creator>
  <cp:lastModifiedBy>Jiří Mališ</cp:lastModifiedBy>
  <cp:revision>8</cp:revision>
  <dcterms:created xsi:type="dcterms:W3CDTF">2018-12-16T09:12:00Z</dcterms:created>
  <dcterms:modified xsi:type="dcterms:W3CDTF">2019-02-03T09:39:00Z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2018-10-16T00:00:00Z</vt:filetime>
  </property>
</Properties>
</file>