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B94" w:rsidRPr="00486127" w:rsidRDefault="00E82A66">
      <w:pPr>
        <w:spacing w:before="88"/>
        <w:ind w:right="774"/>
        <w:jc w:val="right"/>
        <w:rPr>
          <w:sz w:val="18"/>
          <w:lang w:val="cs-CZ"/>
        </w:rPr>
      </w:pPr>
      <w:r>
        <w:rPr>
          <w:sz w:val="18"/>
          <w:lang w:val="cs-CZ"/>
        </w:rPr>
        <w:t xml:space="preserve">Rozhodnutí Národního antidopingového panelu (duben </w:t>
      </w:r>
      <w:r w:rsidR="007A5443" w:rsidRPr="00486127">
        <w:rPr>
          <w:sz w:val="18"/>
          <w:lang w:val="cs-CZ"/>
        </w:rPr>
        <w:t>2014)</w:t>
      </w:r>
    </w:p>
    <w:p w:rsidR="003E6B94" w:rsidRPr="00486127" w:rsidRDefault="007A5443">
      <w:pPr>
        <w:spacing w:before="34"/>
        <w:ind w:right="777"/>
        <w:jc w:val="right"/>
        <w:rPr>
          <w:sz w:val="18"/>
          <w:lang w:val="cs-CZ"/>
        </w:rPr>
      </w:pPr>
      <w:r w:rsidRPr="00486127">
        <w:rPr>
          <w:sz w:val="18"/>
          <w:lang w:val="cs-CZ"/>
        </w:rPr>
        <w:t xml:space="preserve">UK Anti-Doping v </w:t>
      </w:r>
      <w:r w:rsidR="00E82A66">
        <w:rPr>
          <w:sz w:val="18"/>
          <w:lang w:val="cs-CZ"/>
        </w:rPr>
        <w:t>Sportovec</w:t>
      </w:r>
      <w:r w:rsidR="00E82A66" w:rsidRPr="00486127">
        <w:rPr>
          <w:spacing w:val="-10"/>
          <w:sz w:val="18"/>
          <w:lang w:val="cs-CZ"/>
        </w:rPr>
        <w:t xml:space="preserve"> </w:t>
      </w:r>
      <w:r w:rsidRPr="00486127">
        <w:rPr>
          <w:sz w:val="18"/>
          <w:lang w:val="cs-CZ"/>
        </w:rPr>
        <w:t>S</w:t>
      </w:r>
    </w:p>
    <w:p w:rsidR="003E6B94" w:rsidRPr="00486127" w:rsidRDefault="003E6B94">
      <w:pPr>
        <w:pStyle w:val="Zkladntext"/>
        <w:rPr>
          <w:sz w:val="20"/>
          <w:lang w:val="cs-CZ"/>
        </w:rPr>
      </w:pPr>
    </w:p>
    <w:p w:rsidR="003E6B94" w:rsidRPr="00486127" w:rsidRDefault="003E6B94">
      <w:pPr>
        <w:pStyle w:val="Zkladntext"/>
        <w:rPr>
          <w:sz w:val="20"/>
          <w:lang w:val="cs-CZ"/>
        </w:rPr>
      </w:pPr>
    </w:p>
    <w:p w:rsidR="003E6B94" w:rsidRPr="00486127" w:rsidRDefault="003E6B94">
      <w:pPr>
        <w:pStyle w:val="Zkladntext"/>
        <w:spacing w:before="10"/>
        <w:rPr>
          <w:sz w:val="15"/>
          <w:lang w:val="cs-CZ"/>
        </w:rPr>
      </w:pPr>
    </w:p>
    <w:p w:rsidR="003E6B94" w:rsidRPr="00486127" w:rsidRDefault="00551752">
      <w:pPr>
        <w:spacing w:before="101"/>
        <w:ind w:left="1534"/>
        <w:rPr>
          <w:b/>
          <w:sz w:val="28"/>
          <w:lang w:val="cs-CZ"/>
        </w:rPr>
      </w:pPr>
      <w:r w:rsidRPr="00486127">
        <w:rPr>
          <w:b/>
          <w:sz w:val="28"/>
          <w:lang w:val="cs-CZ"/>
        </w:rPr>
        <w:t xml:space="preserve">Případ č. 9 – Přítomnost zakázané látky </w:t>
      </w:r>
    </w:p>
    <w:p w:rsidR="003E6B94" w:rsidRPr="00486127" w:rsidRDefault="003E6B94">
      <w:pPr>
        <w:pStyle w:val="Zkladntext"/>
        <w:rPr>
          <w:b/>
          <w:sz w:val="34"/>
          <w:lang w:val="cs-CZ"/>
        </w:rPr>
      </w:pPr>
    </w:p>
    <w:p w:rsidR="003E6B94" w:rsidRPr="00486127" w:rsidRDefault="003E6B94">
      <w:pPr>
        <w:pStyle w:val="Zkladntext"/>
        <w:rPr>
          <w:b/>
          <w:sz w:val="34"/>
          <w:lang w:val="cs-CZ"/>
        </w:rPr>
      </w:pPr>
    </w:p>
    <w:p w:rsidR="003E6B94" w:rsidRPr="00486127" w:rsidRDefault="00551752">
      <w:pPr>
        <w:pStyle w:val="Nadpis1"/>
        <w:spacing w:before="223"/>
        <w:rPr>
          <w:lang w:val="cs-CZ"/>
        </w:rPr>
      </w:pPr>
      <w:r w:rsidRPr="00486127">
        <w:rPr>
          <w:lang w:val="cs-CZ"/>
        </w:rPr>
        <w:t xml:space="preserve">Klíčová slova </w:t>
      </w:r>
    </w:p>
    <w:p w:rsidR="003E6B94" w:rsidRPr="00486127" w:rsidRDefault="003E6B94">
      <w:pPr>
        <w:pStyle w:val="Zkladntext"/>
        <w:spacing w:before="9"/>
        <w:rPr>
          <w:b/>
          <w:sz w:val="30"/>
          <w:lang w:val="cs-CZ"/>
        </w:rPr>
      </w:pPr>
    </w:p>
    <w:p w:rsidR="003E6B94" w:rsidRPr="00486127" w:rsidRDefault="00551752">
      <w:pPr>
        <w:spacing w:line="360" w:lineRule="auto"/>
        <w:ind w:left="380" w:right="779"/>
        <w:jc w:val="both"/>
        <w:rPr>
          <w:i/>
          <w:lang w:val="cs-CZ"/>
        </w:rPr>
      </w:pPr>
      <w:r w:rsidRPr="00486127">
        <w:rPr>
          <w:i/>
          <w:lang w:val="cs-CZ"/>
        </w:rPr>
        <w:t xml:space="preserve">Kontaminace; </w:t>
      </w:r>
      <w:proofErr w:type="spellStart"/>
      <w:r w:rsidRPr="00486127">
        <w:rPr>
          <w:i/>
          <w:lang w:val="cs-CZ"/>
        </w:rPr>
        <w:t>Oxilofrin</w:t>
      </w:r>
      <w:proofErr w:type="spellEnd"/>
      <w:r w:rsidRPr="00486127">
        <w:rPr>
          <w:i/>
          <w:lang w:val="cs-CZ"/>
        </w:rPr>
        <w:t>; Článek 10.4; Ne</w:t>
      </w:r>
      <w:r w:rsidR="001D79A4" w:rsidRPr="00486127">
        <w:rPr>
          <w:i/>
          <w:lang w:val="cs-CZ"/>
        </w:rPr>
        <w:t>existence zavinění nebo nedbalosti;</w:t>
      </w:r>
      <w:r w:rsidR="00E80A2C">
        <w:rPr>
          <w:i/>
          <w:lang w:val="cs-CZ"/>
        </w:rPr>
        <w:t xml:space="preserve"> Nevýznamné zavinění nebo nevýznamná nedbalost;</w:t>
      </w:r>
      <w:r w:rsidR="001D79A4" w:rsidRPr="00486127">
        <w:rPr>
          <w:i/>
          <w:lang w:val="cs-CZ"/>
        </w:rPr>
        <w:t xml:space="preserve"> UCI</w:t>
      </w:r>
      <w:r w:rsidR="00E80A2C">
        <w:rPr>
          <w:i/>
          <w:lang w:val="cs-CZ"/>
        </w:rPr>
        <w:t>;</w:t>
      </w:r>
      <w:r w:rsidR="001D79A4" w:rsidRPr="00486127">
        <w:rPr>
          <w:i/>
          <w:lang w:val="cs-CZ"/>
        </w:rPr>
        <w:t xml:space="preserve"> Článek 295; Dorian </w:t>
      </w:r>
      <w:proofErr w:type="spellStart"/>
      <w:r w:rsidR="001D79A4" w:rsidRPr="00486127">
        <w:rPr>
          <w:i/>
          <w:lang w:val="cs-CZ"/>
        </w:rPr>
        <w:t>Yates</w:t>
      </w:r>
      <w:proofErr w:type="spellEnd"/>
      <w:r w:rsidR="001D79A4" w:rsidRPr="00486127">
        <w:rPr>
          <w:i/>
          <w:lang w:val="cs-CZ"/>
        </w:rPr>
        <w:t xml:space="preserve"> Nox Pump; Přítomnost; </w:t>
      </w:r>
      <w:r w:rsidR="007A5443" w:rsidRPr="00486127">
        <w:rPr>
          <w:i/>
          <w:color w:val="0070C0"/>
          <w:lang w:val="cs-CZ"/>
        </w:rPr>
        <w:t>Doping</w:t>
      </w:r>
    </w:p>
    <w:p w:rsidR="003E6B94" w:rsidRPr="00486127" w:rsidRDefault="003E6B94">
      <w:pPr>
        <w:pStyle w:val="Zkladntext"/>
        <w:rPr>
          <w:i/>
          <w:sz w:val="26"/>
          <w:lang w:val="cs-CZ"/>
        </w:rPr>
      </w:pPr>
    </w:p>
    <w:p w:rsidR="003E6B94" w:rsidRPr="00486127" w:rsidRDefault="003E6B94">
      <w:pPr>
        <w:pStyle w:val="Zkladntext"/>
        <w:rPr>
          <w:i/>
          <w:sz w:val="26"/>
          <w:lang w:val="cs-CZ"/>
        </w:rPr>
      </w:pPr>
    </w:p>
    <w:p w:rsidR="003E6B94" w:rsidRPr="00486127" w:rsidRDefault="003E6B94">
      <w:pPr>
        <w:pStyle w:val="Zkladntext"/>
        <w:spacing w:before="7"/>
        <w:rPr>
          <w:i/>
          <w:sz w:val="20"/>
          <w:lang w:val="cs-CZ"/>
        </w:rPr>
      </w:pPr>
    </w:p>
    <w:p w:rsidR="003E6B94" w:rsidRPr="00486127" w:rsidRDefault="001D79A4">
      <w:pPr>
        <w:pStyle w:val="Nadpis1"/>
        <w:spacing w:before="1"/>
        <w:rPr>
          <w:lang w:val="cs-CZ"/>
        </w:rPr>
      </w:pPr>
      <w:r w:rsidRPr="00E80A2C">
        <w:rPr>
          <w:lang w:val="cs-CZ"/>
        </w:rPr>
        <w:t xml:space="preserve">Shrnutí </w:t>
      </w:r>
    </w:p>
    <w:p w:rsidR="003E6B94" w:rsidRPr="00486127" w:rsidRDefault="003E6B94">
      <w:pPr>
        <w:pStyle w:val="Zkladntext"/>
        <w:spacing w:before="8"/>
        <w:rPr>
          <w:b/>
          <w:sz w:val="30"/>
          <w:lang w:val="cs-CZ"/>
        </w:rPr>
      </w:pPr>
    </w:p>
    <w:p w:rsidR="003E6B94" w:rsidRPr="00486127" w:rsidRDefault="001D79A4">
      <w:pPr>
        <w:pStyle w:val="Zkladntext"/>
        <w:spacing w:line="360" w:lineRule="auto"/>
        <w:ind w:left="379" w:right="776"/>
        <w:jc w:val="both"/>
        <w:rPr>
          <w:lang w:val="cs-CZ"/>
        </w:rPr>
      </w:pPr>
      <w:r w:rsidRPr="00486127">
        <w:rPr>
          <w:lang w:val="cs-CZ"/>
        </w:rPr>
        <w:t xml:space="preserve">Sportovec S byl obviněn z porušení dopingových pravidel dle Článků 21.1 a 21.2 Pravidel Mezinárodní cyklistické unie (UCI) za pozitivní laboratorní nález na </w:t>
      </w:r>
      <w:proofErr w:type="spellStart"/>
      <w:r w:rsidRPr="00486127">
        <w:rPr>
          <w:lang w:val="cs-CZ"/>
        </w:rPr>
        <w:t>Oxilofrin</w:t>
      </w:r>
      <w:proofErr w:type="spellEnd"/>
      <w:r w:rsidRPr="00486127">
        <w:rPr>
          <w:lang w:val="cs-CZ"/>
        </w:rPr>
        <w:t xml:space="preserve">.  Podle dopingových pravidel UCI byl případ předán k vyřešení Národnímu </w:t>
      </w:r>
      <w:r w:rsidR="00486127">
        <w:rPr>
          <w:lang w:val="cs-CZ"/>
        </w:rPr>
        <w:t xml:space="preserve">antidopingovému </w:t>
      </w:r>
      <w:r w:rsidRPr="00486127">
        <w:rPr>
          <w:lang w:val="cs-CZ"/>
        </w:rPr>
        <w:t xml:space="preserve">panelu. Soud dospěl k závěru, že Sportovec může za účelem snížení trestu využít Článek 295 (ekvivalent Článku 10.4 Světového antidopingového kodexu) a stanovil zákaz činnosti na dobu šesti měsíců. </w:t>
      </w: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spacing w:before="4"/>
        <w:rPr>
          <w:sz w:val="20"/>
          <w:lang w:val="cs-CZ"/>
        </w:rPr>
      </w:pPr>
    </w:p>
    <w:p w:rsidR="003E6B94" w:rsidRPr="00486127" w:rsidRDefault="001D79A4">
      <w:pPr>
        <w:pStyle w:val="Nadpis1"/>
        <w:ind w:left="379"/>
        <w:rPr>
          <w:lang w:val="cs-CZ"/>
        </w:rPr>
      </w:pPr>
      <w:r>
        <w:rPr>
          <w:lang w:val="cs-CZ"/>
        </w:rPr>
        <w:t xml:space="preserve">Kontext </w:t>
      </w:r>
    </w:p>
    <w:p w:rsidR="003E6B94" w:rsidRPr="00486127" w:rsidRDefault="003E6B94">
      <w:pPr>
        <w:pStyle w:val="Zkladntext"/>
        <w:spacing w:before="11"/>
        <w:rPr>
          <w:b/>
          <w:sz w:val="30"/>
          <w:lang w:val="cs-CZ"/>
        </w:rPr>
      </w:pPr>
    </w:p>
    <w:p w:rsidR="003E6B94" w:rsidRPr="00486127" w:rsidRDefault="00986AF1">
      <w:pPr>
        <w:pStyle w:val="Zkladntext"/>
        <w:spacing w:line="360" w:lineRule="auto"/>
        <w:ind w:left="380" w:right="776"/>
        <w:jc w:val="both"/>
        <w:rPr>
          <w:lang w:val="cs-CZ"/>
        </w:rPr>
      </w:pPr>
      <w:r w:rsidRPr="002A3288">
        <w:rPr>
          <w:highlight w:val="yellow"/>
          <w:lang w:val="cs-CZ"/>
        </w:rPr>
        <w:t>Sportovec S, cyklista</w:t>
      </w:r>
      <w:r>
        <w:rPr>
          <w:lang w:val="cs-CZ"/>
        </w:rPr>
        <w:t>,</w:t>
      </w:r>
      <w:r w:rsidRPr="00986AF1">
        <w:rPr>
          <w:lang w:val="cs-CZ"/>
        </w:rPr>
        <w:t xml:space="preserve"> byl obviněn z porušení dopingových pravidel dle Článků 21.1 a 21.2 za pozitivní laboratorní nález na </w:t>
      </w:r>
      <w:proofErr w:type="spellStart"/>
      <w:r w:rsidRPr="002A3288">
        <w:rPr>
          <w:highlight w:val="yellow"/>
          <w:lang w:val="cs-CZ"/>
        </w:rPr>
        <w:t>Oxilofrin</w:t>
      </w:r>
      <w:proofErr w:type="spellEnd"/>
      <w:r>
        <w:rPr>
          <w:lang w:val="cs-CZ"/>
        </w:rPr>
        <w:t xml:space="preserve">. </w:t>
      </w:r>
      <w:r w:rsidR="00486127">
        <w:rPr>
          <w:lang w:val="cs-CZ"/>
        </w:rPr>
        <w:t>K obvinění se přiznal</w:t>
      </w:r>
      <w:r>
        <w:rPr>
          <w:lang w:val="cs-CZ"/>
        </w:rPr>
        <w:t xml:space="preserve">, ale žádal o snížení standartního trestu dle Článku 295 </w:t>
      </w:r>
      <w:r w:rsidRPr="00986AF1">
        <w:rPr>
          <w:lang w:val="cs-CZ"/>
        </w:rPr>
        <w:t>(ekvivalent Článku 10.4 Světového antidopingového kodexu)</w:t>
      </w:r>
      <w:r>
        <w:rPr>
          <w:lang w:val="cs-CZ"/>
        </w:rPr>
        <w:t xml:space="preserve">. </w:t>
      </w:r>
      <w:r w:rsidRPr="00986AF1">
        <w:rPr>
          <w:lang w:val="cs-CZ"/>
        </w:rPr>
        <w:t xml:space="preserve"> </w:t>
      </w: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spacing w:before="4"/>
        <w:rPr>
          <w:sz w:val="20"/>
          <w:lang w:val="cs-CZ"/>
        </w:rPr>
      </w:pPr>
    </w:p>
    <w:p w:rsidR="003E6B94" w:rsidRPr="00486127" w:rsidRDefault="00986AF1">
      <w:pPr>
        <w:pStyle w:val="Nadpis1"/>
        <w:spacing w:before="1"/>
        <w:rPr>
          <w:lang w:val="cs-CZ"/>
        </w:rPr>
      </w:pPr>
      <w:r>
        <w:rPr>
          <w:lang w:val="cs-CZ"/>
        </w:rPr>
        <w:t xml:space="preserve">Zdůvodnění a rozhodnutí soudu </w:t>
      </w:r>
    </w:p>
    <w:p w:rsidR="003E6B94" w:rsidRPr="00486127" w:rsidRDefault="003E6B94">
      <w:pPr>
        <w:pStyle w:val="Zkladntext"/>
        <w:spacing w:before="8"/>
        <w:rPr>
          <w:b/>
          <w:sz w:val="30"/>
          <w:lang w:val="cs-CZ"/>
        </w:rPr>
      </w:pPr>
    </w:p>
    <w:p w:rsidR="003E6B94" w:rsidRPr="00486127" w:rsidRDefault="00986AF1" w:rsidP="00486127">
      <w:pPr>
        <w:pStyle w:val="Zkladntext"/>
        <w:spacing w:line="360" w:lineRule="auto"/>
        <w:ind w:left="380" w:right="776"/>
        <w:jc w:val="both"/>
        <w:rPr>
          <w:lang w:val="cs-CZ"/>
        </w:rPr>
      </w:pPr>
      <w:r>
        <w:rPr>
          <w:lang w:val="cs-CZ"/>
        </w:rPr>
        <w:t xml:space="preserve">Sportovec S popřel záměrné užívání Specifické </w:t>
      </w:r>
      <w:r w:rsidR="00E80A2C">
        <w:rPr>
          <w:lang w:val="cs-CZ"/>
        </w:rPr>
        <w:t>l</w:t>
      </w:r>
      <w:r>
        <w:rPr>
          <w:lang w:val="cs-CZ"/>
        </w:rPr>
        <w:t xml:space="preserve">átky a byl schopný prokázat </w:t>
      </w:r>
      <w:r w:rsidR="00F41EC0">
        <w:rPr>
          <w:lang w:val="cs-CZ"/>
        </w:rPr>
        <w:t xml:space="preserve">způsobem považovaným panelem za uspokojující, že se specifická látka do jeho těla dostala požitím kontaminované dávky energetického nápoje ´Dorian </w:t>
      </w:r>
      <w:proofErr w:type="spellStart"/>
      <w:r w:rsidR="00F41EC0">
        <w:rPr>
          <w:lang w:val="cs-CZ"/>
        </w:rPr>
        <w:t>Yates</w:t>
      </w:r>
      <w:proofErr w:type="spellEnd"/>
      <w:r w:rsidR="00F41EC0">
        <w:rPr>
          <w:lang w:val="cs-CZ"/>
        </w:rPr>
        <w:t xml:space="preserve"> Nox Pump´, který užíval přibližně 4 roky. Obstaral si nezávislou analýzu jiného </w:t>
      </w:r>
      <w:r w:rsidR="00F41EC0">
        <w:rPr>
          <w:lang w:val="cs-CZ"/>
        </w:rPr>
        <w:lastRenderedPageBreak/>
        <w:t>sáčku ze stejné</w:t>
      </w:r>
      <w:r w:rsidR="00E80A2C">
        <w:rPr>
          <w:lang w:val="cs-CZ"/>
        </w:rPr>
        <w:t>ho balení</w:t>
      </w:r>
      <w:r w:rsidR="00F41EC0">
        <w:rPr>
          <w:lang w:val="cs-CZ"/>
        </w:rPr>
        <w:t xml:space="preserve"> potvrzující přítomnost </w:t>
      </w:r>
      <w:proofErr w:type="spellStart"/>
      <w:r w:rsidR="00F41EC0">
        <w:rPr>
          <w:lang w:val="cs-CZ"/>
        </w:rPr>
        <w:t>Oxilofrinu</w:t>
      </w:r>
      <w:proofErr w:type="spellEnd"/>
      <w:r w:rsidR="00F41EC0">
        <w:rPr>
          <w:lang w:val="cs-CZ"/>
        </w:rPr>
        <w:t xml:space="preserve">. Sportovec S prohlásil, že Dorian </w:t>
      </w:r>
      <w:proofErr w:type="spellStart"/>
      <w:r w:rsidR="00F41EC0">
        <w:rPr>
          <w:lang w:val="cs-CZ"/>
        </w:rPr>
        <w:t>Yates</w:t>
      </w:r>
      <w:proofErr w:type="spellEnd"/>
      <w:r w:rsidR="00F41EC0">
        <w:rPr>
          <w:lang w:val="cs-CZ"/>
        </w:rPr>
        <w:t xml:space="preserve"> Nox Pump </w:t>
      </w:r>
      <w:r w:rsidR="00F41EC0" w:rsidRPr="00486127">
        <w:rPr>
          <w:highlight w:val="green"/>
          <w:lang w:val="cs-CZ"/>
        </w:rPr>
        <w:t>uvedl</w:t>
      </w:r>
      <w:r w:rsidR="00F41EC0">
        <w:rPr>
          <w:lang w:val="cs-CZ"/>
        </w:rPr>
        <w:t xml:space="preserve"> do Formuláře o dopingové zkoušce (DCF) a že byl během období užívání Dorian </w:t>
      </w:r>
      <w:proofErr w:type="spellStart"/>
      <w:r w:rsidR="00F41EC0">
        <w:rPr>
          <w:lang w:val="cs-CZ"/>
        </w:rPr>
        <w:t>Yates</w:t>
      </w:r>
      <w:proofErr w:type="spellEnd"/>
      <w:r w:rsidR="00F41EC0">
        <w:rPr>
          <w:lang w:val="cs-CZ"/>
        </w:rPr>
        <w:t xml:space="preserve"> Nox Pump dvakrát testován s negativním výsledkem. Žádal o zrušení období zákazu činnosti. </w:t>
      </w:r>
    </w:p>
    <w:p w:rsidR="003E6B94" w:rsidRPr="00486127" w:rsidRDefault="003E6B94">
      <w:pPr>
        <w:pStyle w:val="Zkladntext"/>
        <w:spacing w:before="9"/>
        <w:rPr>
          <w:sz w:val="19"/>
          <w:lang w:val="cs-CZ"/>
        </w:rPr>
      </w:pPr>
    </w:p>
    <w:p w:rsidR="003E6C13" w:rsidRDefault="003E6C13">
      <w:pPr>
        <w:pStyle w:val="Zkladntext"/>
        <w:spacing w:before="1" w:line="360" w:lineRule="auto"/>
        <w:ind w:left="379" w:right="778"/>
        <w:jc w:val="both"/>
        <w:rPr>
          <w:lang w:val="cs-CZ"/>
        </w:rPr>
      </w:pPr>
      <w:r>
        <w:rPr>
          <w:lang w:val="cs-CZ"/>
        </w:rPr>
        <w:t>UKAD uznala, že Sportovec S </w:t>
      </w:r>
      <w:r w:rsidR="00E80A2C">
        <w:rPr>
          <w:lang w:val="cs-CZ"/>
        </w:rPr>
        <w:t>prokázal,</w:t>
      </w:r>
      <w:r>
        <w:rPr>
          <w:lang w:val="cs-CZ"/>
        </w:rPr>
        <w:t xml:space="preserve"> jakým způsobem se specifická látka dostala do jeho těla</w:t>
      </w:r>
      <w:r w:rsidR="0002415F">
        <w:rPr>
          <w:lang w:val="cs-CZ"/>
        </w:rPr>
        <w:t xml:space="preserve">, a že </w:t>
      </w:r>
      <w:r w:rsidR="00486127">
        <w:rPr>
          <w:lang w:val="cs-CZ"/>
        </w:rPr>
        <w:t>rovněž</w:t>
      </w:r>
      <w:r w:rsidR="0002415F">
        <w:rPr>
          <w:lang w:val="cs-CZ"/>
        </w:rPr>
        <w:t xml:space="preserve"> prokázal, že neužil </w:t>
      </w:r>
      <w:proofErr w:type="spellStart"/>
      <w:r w:rsidR="0002415F">
        <w:rPr>
          <w:lang w:val="cs-CZ"/>
        </w:rPr>
        <w:t>Oxilofrin</w:t>
      </w:r>
      <w:proofErr w:type="spellEnd"/>
      <w:r w:rsidR="0002415F">
        <w:rPr>
          <w:lang w:val="cs-CZ"/>
        </w:rPr>
        <w:t xml:space="preserve"> se záměrem zlepšení svého sportovního výkonu, a použila tedy Článek 295. </w:t>
      </w:r>
    </w:p>
    <w:p w:rsidR="003E6B94" w:rsidRPr="00486127" w:rsidRDefault="003E6B94">
      <w:pPr>
        <w:pStyle w:val="Zkladntext"/>
        <w:spacing w:before="7"/>
        <w:rPr>
          <w:sz w:val="19"/>
          <w:lang w:val="cs-CZ"/>
        </w:rPr>
      </w:pPr>
    </w:p>
    <w:p w:rsidR="0002415F" w:rsidRDefault="0002415F">
      <w:pPr>
        <w:pStyle w:val="Zkladntext"/>
        <w:spacing w:before="1" w:line="360" w:lineRule="auto"/>
        <w:ind w:left="379" w:right="779"/>
        <w:jc w:val="both"/>
        <w:rPr>
          <w:lang w:val="cs-CZ"/>
        </w:rPr>
      </w:pPr>
      <w:r>
        <w:rPr>
          <w:lang w:val="cs-CZ"/>
        </w:rPr>
        <w:t xml:space="preserve">Soud připustil, že Sportovec neměl přístup ke stejné úrovni antidopingového poradenství a vzdělávání jako profesionální sportovci na plný úvazek, nicméně shledal, že </w:t>
      </w:r>
      <w:r w:rsidR="000A77D8" w:rsidRPr="0059128E">
        <w:rPr>
          <w:lang w:val="cs-CZ"/>
        </w:rPr>
        <w:t>při zjišťování</w:t>
      </w:r>
      <w:r w:rsidR="000A77D8">
        <w:rPr>
          <w:lang w:val="cs-CZ"/>
        </w:rPr>
        <w:t xml:space="preserve"> informací o výrobku, jenž užíval, </w:t>
      </w:r>
      <w:r>
        <w:rPr>
          <w:lang w:val="cs-CZ"/>
        </w:rPr>
        <w:t xml:space="preserve">mohl a </w:t>
      </w:r>
      <w:r w:rsidRPr="000A77D8">
        <w:rPr>
          <w:lang w:val="cs-CZ"/>
        </w:rPr>
        <w:t>měl udělat mnohem více</w:t>
      </w:r>
      <w:r w:rsidR="000A77D8">
        <w:rPr>
          <w:lang w:val="cs-CZ"/>
        </w:rPr>
        <w:t>,</w:t>
      </w:r>
      <w:r w:rsidRPr="000A77D8">
        <w:rPr>
          <w:lang w:val="cs-CZ"/>
        </w:rPr>
        <w:t xml:space="preserve"> </w:t>
      </w:r>
      <w:r>
        <w:rPr>
          <w:lang w:val="cs-CZ"/>
        </w:rPr>
        <w:t xml:space="preserve">než </w:t>
      </w:r>
      <w:r w:rsidR="000A77D8">
        <w:rPr>
          <w:lang w:val="cs-CZ"/>
        </w:rPr>
        <w:t>ve skutečnosti</w:t>
      </w:r>
      <w:r>
        <w:rPr>
          <w:lang w:val="cs-CZ"/>
        </w:rPr>
        <w:t xml:space="preserve"> učinil.  </w:t>
      </w:r>
    </w:p>
    <w:p w:rsidR="003E6B94" w:rsidRPr="00486127" w:rsidRDefault="003E6B94">
      <w:pPr>
        <w:pStyle w:val="Zkladntext"/>
        <w:spacing w:before="7"/>
        <w:rPr>
          <w:sz w:val="19"/>
          <w:lang w:val="cs-CZ"/>
        </w:rPr>
      </w:pPr>
    </w:p>
    <w:p w:rsidR="0002415F" w:rsidRDefault="0002415F">
      <w:pPr>
        <w:pStyle w:val="Zkladntext"/>
        <w:spacing w:before="1" w:line="360" w:lineRule="auto"/>
        <w:ind w:left="379" w:right="777"/>
        <w:jc w:val="both"/>
        <w:rPr>
          <w:lang w:val="cs-CZ"/>
        </w:rPr>
      </w:pPr>
      <w:r>
        <w:rPr>
          <w:lang w:val="cs-CZ"/>
        </w:rPr>
        <w:t xml:space="preserve">Při posuzování míry zavinění Sportovce S za účelem stanovení trestu podle Článku 295 vzal soud v úvahu následující: Sportovec S i) nevyhledal </w:t>
      </w:r>
      <w:r w:rsidR="000A77D8">
        <w:rPr>
          <w:lang w:val="cs-CZ"/>
        </w:rPr>
        <w:t>lékařské poradenství</w:t>
      </w:r>
      <w:r>
        <w:rPr>
          <w:lang w:val="cs-CZ"/>
        </w:rPr>
        <w:t xml:space="preserve"> nebo neprovedl své vlastní testování doplňku Dorian </w:t>
      </w:r>
      <w:proofErr w:type="spellStart"/>
      <w:r>
        <w:rPr>
          <w:lang w:val="cs-CZ"/>
        </w:rPr>
        <w:t>Yates</w:t>
      </w:r>
      <w:proofErr w:type="spellEnd"/>
      <w:r>
        <w:rPr>
          <w:lang w:val="cs-CZ"/>
        </w:rPr>
        <w:t xml:space="preserve"> Nox Pump;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o výrobku si zjistil jen velmi omezené informace;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 xml:space="preserve">) nezeptal se ostatních cyklistů nebo orgánů působících v cyklistice na daný výrobek; a </w:t>
      </w:r>
      <w:proofErr w:type="spellStart"/>
      <w:r>
        <w:rPr>
          <w:lang w:val="cs-CZ"/>
        </w:rPr>
        <w:t>iv</w:t>
      </w:r>
      <w:proofErr w:type="spellEnd"/>
      <w:r>
        <w:rPr>
          <w:lang w:val="cs-CZ"/>
        </w:rPr>
        <w:t xml:space="preserve">) nakupoval výrobek </w:t>
      </w:r>
      <w:r w:rsidR="00E8709C">
        <w:rPr>
          <w:lang w:val="cs-CZ"/>
        </w:rPr>
        <w:t xml:space="preserve">od různých neregulovaných dodavatelů neznámé pověsti. </w:t>
      </w:r>
    </w:p>
    <w:p w:rsidR="003E6B94" w:rsidRPr="00486127" w:rsidRDefault="003E6B94">
      <w:pPr>
        <w:pStyle w:val="Zkladntext"/>
        <w:spacing w:before="8"/>
        <w:rPr>
          <w:sz w:val="19"/>
          <w:lang w:val="cs-CZ"/>
        </w:rPr>
      </w:pPr>
    </w:p>
    <w:p w:rsidR="003E6B94" w:rsidRPr="00486127" w:rsidRDefault="00E8709C">
      <w:pPr>
        <w:pStyle w:val="Zkladntext"/>
        <w:spacing w:line="360" w:lineRule="auto"/>
        <w:ind w:left="380" w:right="776"/>
        <w:jc w:val="both"/>
        <w:rPr>
          <w:lang w:val="cs-CZ"/>
        </w:rPr>
      </w:pPr>
      <w:r>
        <w:rPr>
          <w:lang w:val="cs-CZ"/>
        </w:rPr>
        <w:t xml:space="preserve">Soud nicméně také poznamenal, že Sportovec S i) otevřeně přiznal užívání doplňku; </w:t>
      </w:r>
      <w:proofErr w:type="spellStart"/>
      <w:r>
        <w:rPr>
          <w:lang w:val="cs-CZ"/>
        </w:rPr>
        <w:t>ii</w:t>
      </w:r>
      <w:proofErr w:type="spellEnd"/>
      <w:r>
        <w:rPr>
          <w:lang w:val="cs-CZ"/>
        </w:rPr>
        <w:t xml:space="preserve">) byl dříve dvakrát testován s negativním výsledkem; </w:t>
      </w:r>
      <w:proofErr w:type="spellStart"/>
      <w:r>
        <w:rPr>
          <w:lang w:val="cs-CZ"/>
        </w:rPr>
        <w:t>iii</w:t>
      </w:r>
      <w:proofErr w:type="spellEnd"/>
      <w:r>
        <w:rPr>
          <w:lang w:val="cs-CZ"/>
        </w:rPr>
        <w:t xml:space="preserve">) svou vinu přiznal urychleně po pozitivním testu; </w:t>
      </w:r>
      <w:proofErr w:type="spellStart"/>
      <w:r>
        <w:rPr>
          <w:lang w:val="cs-CZ"/>
        </w:rPr>
        <w:t>iv</w:t>
      </w:r>
      <w:proofErr w:type="spellEnd"/>
      <w:r>
        <w:rPr>
          <w:lang w:val="cs-CZ"/>
        </w:rPr>
        <w:t xml:space="preserve">) </w:t>
      </w:r>
      <w:r w:rsidRPr="000A77D8">
        <w:rPr>
          <w:lang w:val="cs-CZ"/>
        </w:rPr>
        <w:t>souhlasil s pozastavením činnosti;</w:t>
      </w:r>
      <w:r>
        <w:rPr>
          <w:lang w:val="cs-CZ"/>
        </w:rPr>
        <w:t xml:space="preserve"> a v) spolupracoval s vyšetřujícím úřadem. </w:t>
      </w:r>
    </w:p>
    <w:p w:rsidR="003E6B94" w:rsidRPr="00486127" w:rsidRDefault="003E6B94">
      <w:pPr>
        <w:pStyle w:val="Zkladntext"/>
        <w:spacing w:before="10"/>
        <w:rPr>
          <w:sz w:val="19"/>
          <w:lang w:val="cs-CZ"/>
        </w:rPr>
      </w:pPr>
    </w:p>
    <w:p w:rsidR="00E8709C" w:rsidRDefault="00E8709C">
      <w:pPr>
        <w:pStyle w:val="Zkladntext"/>
        <w:spacing w:line="360" w:lineRule="auto"/>
        <w:ind w:left="380" w:right="778"/>
        <w:jc w:val="both"/>
        <w:rPr>
          <w:lang w:val="cs-CZ"/>
        </w:rPr>
      </w:pPr>
      <w:r>
        <w:rPr>
          <w:lang w:val="cs-CZ"/>
        </w:rPr>
        <w:t xml:space="preserve">Soud tedy z výše uvedených důvodů stanovil trest zákazu činnosti na šest měsíců a diskvalifikoval ho ze soutěží, jichž se účastnil dříve, než souhlasil s dobrovolným pozastavením činnosti. </w:t>
      </w: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rPr>
          <w:sz w:val="26"/>
          <w:lang w:val="cs-CZ"/>
        </w:rPr>
      </w:pPr>
    </w:p>
    <w:p w:rsidR="003E6B94" w:rsidRPr="00486127" w:rsidRDefault="003E6B94">
      <w:pPr>
        <w:pStyle w:val="Zkladntext"/>
        <w:spacing w:before="5"/>
        <w:rPr>
          <w:sz w:val="20"/>
          <w:lang w:val="cs-CZ"/>
        </w:rPr>
      </w:pPr>
    </w:p>
    <w:p w:rsidR="003E6B94" w:rsidRPr="00486127" w:rsidRDefault="00220589">
      <w:pPr>
        <w:pStyle w:val="Nadpis1"/>
        <w:jc w:val="both"/>
        <w:rPr>
          <w:lang w:val="cs-CZ"/>
        </w:rPr>
      </w:pPr>
      <w:r>
        <w:rPr>
          <w:lang w:val="cs-CZ"/>
        </w:rPr>
        <w:t xml:space="preserve">Poučení </w:t>
      </w:r>
    </w:p>
    <w:p w:rsidR="003E6B94" w:rsidRPr="00486127" w:rsidRDefault="00B01CE6" w:rsidP="00486127">
      <w:pPr>
        <w:pStyle w:val="Odstavecseseznamem"/>
        <w:numPr>
          <w:ilvl w:val="0"/>
          <w:numId w:val="3"/>
        </w:numPr>
        <w:tabs>
          <w:tab w:val="left" w:pos="1100"/>
          <w:tab w:val="left" w:pos="1101"/>
          <w:tab w:val="left" w:pos="1995"/>
          <w:tab w:val="left" w:pos="2410"/>
          <w:tab w:val="left" w:pos="3797"/>
          <w:tab w:val="left" w:pos="4359"/>
          <w:tab w:val="left" w:pos="4832"/>
          <w:tab w:val="left" w:pos="6190"/>
          <w:tab w:val="left" w:pos="7226"/>
          <w:tab w:val="left" w:pos="7627"/>
          <w:tab w:val="left" w:pos="8297"/>
          <w:tab w:val="left" w:pos="8859"/>
        </w:tabs>
        <w:spacing w:before="127" w:line="357" w:lineRule="auto"/>
        <w:rPr>
          <w:sz w:val="20"/>
          <w:lang w:val="cs-CZ"/>
        </w:rPr>
      </w:pPr>
      <w:r w:rsidRPr="00486127">
        <w:rPr>
          <w:lang w:val="cs-CZ"/>
        </w:rPr>
        <w:t xml:space="preserve">Pokud žádá Sportovec o využití Článku 10.4 (Článek 295 UCI), </w:t>
      </w:r>
      <w:r w:rsidR="007B4895" w:rsidRPr="00486127">
        <w:rPr>
          <w:lang w:val="cs-CZ"/>
        </w:rPr>
        <w:t>lze zákaz činnosti zcela zrušit jen ve velmi výjimečných případech</w:t>
      </w:r>
      <w:r w:rsidR="000A77D8" w:rsidRPr="00486127">
        <w:rPr>
          <w:lang w:val="cs-CZ"/>
        </w:rPr>
        <w:t>;</w:t>
      </w:r>
      <w:r w:rsidR="007B4895" w:rsidRPr="00486127">
        <w:rPr>
          <w:lang w:val="cs-CZ"/>
        </w:rPr>
        <w:t xml:space="preserve"> </w:t>
      </w:r>
      <w:bookmarkStart w:id="0" w:name="_GoBack"/>
      <w:bookmarkEnd w:id="0"/>
      <w:r w:rsidR="007B4895" w:rsidRPr="002A3288">
        <w:rPr>
          <w:highlight w:val="yellow"/>
          <w:lang w:val="cs-CZ"/>
        </w:rPr>
        <w:t>trest bude stanoven na základě posouzení skutků a zavinění sportovce.</w:t>
      </w:r>
      <w:r w:rsidR="007B4895" w:rsidRPr="00486127">
        <w:rPr>
          <w:lang w:val="cs-CZ"/>
        </w:rPr>
        <w:t xml:space="preserve"> </w:t>
      </w:r>
    </w:p>
    <w:p w:rsidR="00486127" w:rsidRPr="00486127" w:rsidRDefault="00486127" w:rsidP="00486127">
      <w:pPr>
        <w:pStyle w:val="Odstavecseseznamem"/>
        <w:tabs>
          <w:tab w:val="left" w:pos="1100"/>
          <w:tab w:val="left" w:pos="1101"/>
          <w:tab w:val="left" w:pos="1995"/>
          <w:tab w:val="left" w:pos="2410"/>
          <w:tab w:val="left" w:pos="3797"/>
          <w:tab w:val="left" w:pos="4359"/>
          <w:tab w:val="left" w:pos="4832"/>
          <w:tab w:val="left" w:pos="6190"/>
          <w:tab w:val="left" w:pos="7226"/>
          <w:tab w:val="left" w:pos="7627"/>
          <w:tab w:val="left" w:pos="8297"/>
          <w:tab w:val="left" w:pos="8859"/>
        </w:tabs>
        <w:spacing w:before="127" w:line="357" w:lineRule="auto"/>
        <w:ind w:left="1100" w:firstLine="0"/>
        <w:rPr>
          <w:sz w:val="20"/>
          <w:lang w:val="cs-CZ"/>
        </w:rPr>
      </w:pPr>
    </w:p>
    <w:p w:rsidR="00486127" w:rsidRPr="002A3288" w:rsidRDefault="00486127" w:rsidP="00486127">
      <w:pPr>
        <w:pStyle w:val="Odstavecseseznamem"/>
        <w:numPr>
          <w:ilvl w:val="0"/>
          <w:numId w:val="3"/>
        </w:numPr>
        <w:spacing w:line="360" w:lineRule="auto"/>
        <w:rPr>
          <w:highlight w:val="yellow"/>
          <w:lang w:val="cs-CZ"/>
        </w:rPr>
      </w:pPr>
      <w:r w:rsidRPr="00486127">
        <w:rPr>
          <w:lang w:val="cs-CZ"/>
        </w:rPr>
        <w:t xml:space="preserve">Sportovci by měli být opatrní co se týče zdroje výrobků, jež užívají, a rovněž uvedených látek, jelikož toto může mít vliv na rozhodnutí o zavinění. </w:t>
      </w:r>
      <w:r w:rsidRPr="002A3288">
        <w:rPr>
          <w:highlight w:val="yellow"/>
          <w:lang w:val="cs-CZ"/>
        </w:rPr>
        <w:t xml:space="preserve">Není rozumné nakupovat na neregulovaných a neprověřených </w:t>
      </w:r>
      <w:r w:rsidRPr="002A3288">
        <w:rPr>
          <w:highlight w:val="yellow"/>
          <w:lang w:val="cs-CZ"/>
        </w:rPr>
        <w:lastRenderedPageBreak/>
        <w:t xml:space="preserve">internetových stránkách. Všichni sportovci by měli být obezřetní a informovat se o povaze (a legálnosti) užívaných doplňků. Toto může zahrnovat potřebu nechat si nezávisle otestovat výrobky, jež užívají.  </w:t>
      </w:r>
    </w:p>
    <w:p w:rsidR="00486127" w:rsidRPr="00486127" w:rsidRDefault="00486127" w:rsidP="00486127">
      <w:pPr>
        <w:pStyle w:val="Odstavecseseznamem"/>
        <w:tabs>
          <w:tab w:val="left" w:pos="1100"/>
          <w:tab w:val="left" w:pos="1101"/>
          <w:tab w:val="left" w:pos="1995"/>
          <w:tab w:val="left" w:pos="2410"/>
          <w:tab w:val="left" w:pos="3797"/>
          <w:tab w:val="left" w:pos="4359"/>
          <w:tab w:val="left" w:pos="4832"/>
          <w:tab w:val="left" w:pos="6190"/>
          <w:tab w:val="left" w:pos="7226"/>
          <w:tab w:val="left" w:pos="7627"/>
          <w:tab w:val="left" w:pos="8297"/>
          <w:tab w:val="left" w:pos="8859"/>
        </w:tabs>
        <w:spacing w:before="127" w:line="360" w:lineRule="auto"/>
        <w:ind w:left="102" w:firstLine="0"/>
        <w:rPr>
          <w:sz w:val="20"/>
          <w:lang w:val="cs-CZ"/>
        </w:rPr>
      </w:pPr>
    </w:p>
    <w:sectPr w:rsidR="00486127" w:rsidRPr="00486127">
      <w:pgSz w:w="11910" w:h="16840"/>
      <w:pgMar w:top="1580" w:right="660" w:bottom="280" w:left="10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47D7"/>
    <w:multiLevelType w:val="hybridMultilevel"/>
    <w:tmpl w:val="A5C891C4"/>
    <w:lvl w:ilvl="0" w:tplc="7ACC4B7C">
      <w:start w:val="3"/>
      <w:numFmt w:val="lowerRoman"/>
      <w:lvlText w:val="%1)"/>
      <w:lvlJc w:val="left"/>
      <w:pPr>
        <w:ind w:left="380" w:hanging="425"/>
        <w:jc w:val="left"/>
      </w:pPr>
      <w:rPr>
        <w:rFonts w:ascii="Verdana" w:eastAsia="Verdana" w:hAnsi="Verdana" w:cs="Verdana" w:hint="default"/>
        <w:spacing w:val="-3"/>
        <w:w w:val="100"/>
        <w:sz w:val="22"/>
        <w:szCs w:val="22"/>
        <w:lang w:val="en-GB" w:eastAsia="en-GB" w:bidi="en-GB"/>
      </w:rPr>
    </w:lvl>
    <w:lvl w:ilvl="1" w:tplc="66C2B0E0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2" w:tplc="F1A0305E">
      <w:numFmt w:val="bullet"/>
      <w:lvlText w:val="•"/>
      <w:lvlJc w:val="left"/>
      <w:pPr>
        <w:ind w:left="2109" w:hanging="361"/>
      </w:pPr>
      <w:rPr>
        <w:rFonts w:hint="default"/>
        <w:lang w:val="en-GB" w:eastAsia="en-GB" w:bidi="en-GB"/>
      </w:rPr>
    </w:lvl>
    <w:lvl w:ilvl="3" w:tplc="D46004A6">
      <w:numFmt w:val="bullet"/>
      <w:lvlText w:val="•"/>
      <w:lvlJc w:val="left"/>
      <w:pPr>
        <w:ind w:left="3119" w:hanging="361"/>
      </w:pPr>
      <w:rPr>
        <w:rFonts w:hint="default"/>
        <w:lang w:val="en-GB" w:eastAsia="en-GB" w:bidi="en-GB"/>
      </w:rPr>
    </w:lvl>
    <w:lvl w:ilvl="4" w:tplc="CFFED68C">
      <w:numFmt w:val="bullet"/>
      <w:lvlText w:val="•"/>
      <w:lvlJc w:val="left"/>
      <w:pPr>
        <w:ind w:left="4128" w:hanging="361"/>
      </w:pPr>
      <w:rPr>
        <w:rFonts w:hint="default"/>
        <w:lang w:val="en-GB" w:eastAsia="en-GB" w:bidi="en-GB"/>
      </w:rPr>
    </w:lvl>
    <w:lvl w:ilvl="5" w:tplc="54BAEB9E">
      <w:numFmt w:val="bullet"/>
      <w:lvlText w:val="•"/>
      <w:lvlJc w:val="left"/>
      <w:pPr>
        <w:ind w:left="5138" w:hanging="361"/>
      </w:pPr>
      <w:rPr>
        <w:rFonts w:hint="default"/>
        <w:lang w:val="en-GB" w:eastAsia="en-GB" w:bidi="en-GB"/>
      </w:rPr>
    </w:lvl>
    <w:lvl w:ilvl="6" w:tplc="BBB48B88">
      <w:numFmt w:val="bullet"/>
      <w:lvlText w:val="•"/>
      <w:lvlJc w:val="left"/>
      <w:pPr>
        <w:ind w:left="6148" w:hanging="361"/>
      </w:pPr>
      <w:rPr>
        <w:rFonts w:hint="default"/>
        <w:lang w:val="en-GB" w:eastAsia="en-GB" w:bidi="en-GB"/>
      </w:rPr>
    </w:lvl>
    <w:lvl w:ilvl="7" w:tplc="721E5F16">
      <w:numFmt w:val="bullet"/>
      <w:lvlText w:val="•"/>
      <w:lvlJc w:val="left"/>
      <w:pPr>
        <w:ind w:left="7157" w:hanging="361"/>
      </w:pPr>
      <w:rPr>
        <w:rFonts w:hint="default"/>
        <w:lang w:val="en-GB" w:eastAsia="en-GB" w:bidi="en-GB"/>
      </w:rPr>
    </w:lvl>
    <w:lvl w:ilvl="8" w:tplc="408EF248">
      <w:numFmt w:val="bullet"/>
      <w:lvlText w:val="•"/>
      <w:lvlJc w:val="left"/>
      <w:pPr>
        <w:ind w:left="8167" w:hanging="361"/>
      </w:pPr>
      <w:rPr>
        <w:rFonts w:hint="default"/>
        <w:lang w:val="en-GB" w:eastAsia="en-GB" w:bidi="en-GB"/>
      </w:rPr>
    </w:lvl>
  </w:abstractNum>
  <w:abstractNum w:abstractNumId="1" w15:restartNumberingAfterBreak="0">
    <w:nsid w:val="16A91326"/>
    <w:multiLevelType w:val="hybridMultilevel"/>
    <w:tmpl w:val="84CCEFC0"/>
    <w:lvl w:ilvl="0" w:tplc="66C2B0E0">
      <w:numFmt w:val="bullet"/>
      <w:lvlText w:val=""/>
      <w:lvlJc w:val="left"/>
      <w:pPr>
        <w:ind w:left="1100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3741C"/>
    <w:multiLevelType w:val="hybridMultilevel"/>
    <w:tmpl w:val="5A888198"/>
    <w:lvl w:ilvl="0" w:tplc="103A0256">
      <w:numFmt w:val="bullet"/>
      <w:lvlText w:val=""/>
      <w:lvlJc w:val="left"/>
      <w:pPr>
        <w:ind w:left="987" w:hanging="361"/>
      </w:pPr>
      <w:rPr>
        <w:rFonts w:ascii="Symbol" w:eastAsia="Symbol" w:hAnsi="Symbol" w:cs="Symbol" w:hint="default"/>
        <w:w w:val="100"/>
        <w:sz w:val="22"/>
        <w:szCs w:val="22"/>
        <w:lang w:val="en-GB" w:eastAsia="en-GB" w:bidi="en-GB"/>
      </w:rPr>
    </w:lvl>
    <w:lvl w:ilvl="1" w:tplc="0774677E">
      <w:numFmt w:val="bullet"/>
      <w:lvlText w:val="•"/>
      <w:lvlJc w:val="left"/>
      <w:pPr>
        <w:ind w:left="1878" w:hanging="361"/>
      </w:pPr>
      <w:rPr>
        <w:rFonts w:hint="default"/>
        <w:lang w:val="en-GB" w:eastAsia="en-GB" w:bidi="en-GB"/>
      </w:rPr>
    </w:lvl>
    <w:lvl w:ilvl="2" w:tplc="AE1E55A0">
      <w:numFmt w:val="bullet"/>
      <w:lvlText w:val="•"/>
      <w:lvlJc w:val="left"/>
      <w:pPr>
        <w:ind w:left="2777" w:hanging="361"/>
      </w:pPr>
      <w:rPr>
        <w:rFonts w:hint="default"/>
        <w:lang w:val="en-GB" w:eastAsia="en-GB" w:bidi="en-GB"/>
      </w:rPr>
    </w:lvl>
    <w:lvl w:ilvl="3" w:tplc="3E548E34">
      <w:numFmt w:val="bullet"/>
      <w:lvlText w:val="•"/>
      <w:lvlJc w:val="left"/>
      <w:pPr>
        <w:ind w:left="3675" w:hanging="361"/>
      </w:pPr>
      <w:rPr>
        <w:rFonts w:hint="default"/>
        <w:lang w:val="en-GB" w:eastAsia="en-GB" w:bidi="en-GB"/>
      </w:rPr>
    </w:lvl>
    <w:lvl w:ilvl="4" w:tplc="084220A8">
      <w:numFmt w:val="bullet"/>
      <w:lvlText w:val="•"/>
      <w:lvlJc w:val="left"/>
      <w:pPr>
        <w:ind w:left="4574" w:hanging="361"/>
      </w:pPr>
      <w:rPr>
        <w:rFonts w:hint="default"/>
        <w:lang w:val="en-GB" w:eastAsia="en-GB" w:bidi="en-GB"/>
      </w:rPr>
    </w:lvl>
    <w:lvl w:ilvl="5" w:tplc="2EDAB0E4">
      <w:numFmt w:val="bullet"/>
      <w:lvlText w:val="•"/>
      <w:lvlJc w:val="left"/>
      <w:pPr>
        <w:ind w:left="5473" w:hanging="361"/>
      </w:pPr>
      <w:rPr>
        <w:rFonts w:hint="default"/>
        <w:lang w:val="en-GB" w:eastAsia="en-GB" w:bidi="en-GB"/>
      </w:rPr>
    </w:lvl>
    <w:lvl w:ilvl="6" w:tplc="B03A2C34">
      <w:numFmt w:val="bullet"/>
      <w:lvlText w:val="•"/>
      <w:lvlJc w:val="left"/>
      <w:pPr>
        <w:ind w:left="6371" w:hanging="361"/>
      </w:pPr>
      <w:rPr>
        <w:rFonts w:hint="default"/>
        <w:lang w:val="en-GB" w:eastAsia="en-GB" w:bidi="en-GB"/>
      </w:rPr>
    </w:lvl>
    <w:lvl w:ilvl="7" w:tplc="2DA44BC0">
      <w:numFmt w:val="bullet"/>
      <w:lvlText w:val="•"/>
      <w:lvlJc w:val="left"/>
      <w:pPr>
        <w:ind w:left="7270" w:hanging="361"/>
      </w:pPr>
      <w:rPr>
        <w:rFonts w:hint="default"/>
        <w:lang w:val="en-GB" w:eastAsia="en-GB" w:bidi="en-GB"/>
      </w:rPr>
    </w:lvl>
    <w:lvl w:ilvl="8" w:tplc="9DE4CFC4">
      <w:numFmt w:val="bullet"/>
      <w:lvlText w:val="•"/>
      <w:lvlJc w:val="left"/>
      <w:pPr>
        <w:ind w:left="8168" w:hanging="361"/>
      </w:pPr>
      <w:rPr>
        <w:rFonts w:hint="default"/>
        <w:lang w:val="en-GB" w:eastAsia="en-GB" w:bidi="en-GB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B94"/>
    <w:rsid w:val="0002415F"/>
    <w:rsid w:val="000A77D8"/>
    <w:rsid w:val="001D79A4"/>
    <w:rsid w:val="00220589"/>
    <w:rsid w:val="002A3288"/>
    <w:rsid w:val="003E6B94"/>
    <w:rsid w:val="003E6C13"/>
    <w:rsid w:val="00486127"/>
    <w:rsid w:val="004E04A2"/>
    <w:rsid w:val="00551752"/>
    <w:rsid w:val="007A5443"/>
    <w:rsid w:val="007B4895"/>
    <w:rsid w:val="00986AF1"/>
    <w:rsid w:val="00B01CE6"/>
    <w:rsid w:val="00E80A2C"/>
    <w:rsid w:val="00E82A66"/>
    <w:rsid w:val="00E8709C"/>
    <w:rsid w:val="00EA5B37"/>
    <w:rsid w:val="00F4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887EC-DA41-429E-9A99-51AA8F75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Verdana" w:eastAsia="Verdana" w:hAnsi="Verdana" w:cs="Verdana"/>
      <w:lang w:val="en-GB" w:eastAsia="en-GB" w:bidi="en-GB"/>
    </w:rPr>
  </w:style>
  <w:style w:type="paragraph" w:styleId="Nadpis1">
    <w:name w:val="heading 1"/>
    <w:basedOn w:val="Normln"/>
    <w:uiPriority w:val="9"/>
    <w:qFormat/>
    <w:pPr>
      <w:ind w:left="380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1"/>
      <w:ind w:left="380" w:right="775" w:hanging="360"/>
    </w:pPr>
  </w:style>
  <w:style w:type="paragraph" w:customStyle="1" w:styleId="TableParagraph">
    <w:name w:val="Table Paragraph"/>
    <w:basedOn w:val="Normln"/>
    <w:uiPriority w:val="1"/>
    <w:qFormat/>
  </w:style>
  <w:style w:type="paragraph" w:styleId="Textbubliny">
    <w:name w:val="Balloon Text"/>
    <w:basedOn w:val="Normln"/>
    <w:link w:val="TextbublinyChar"/>
    <w:uiPriority w:val="99"/>
    <w:semiHidden/>
    <w:unhideWhenUsed/>
    <w:rsid w:val="001D79A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79A4"/>
    <w:rPr>
      <w:rFonts w:ascii="Segoe UI" w:eastAsia="Verdana" w:hAnsi="Segoe UI" w:cs="Segoe UI"/>
      <w:sz w:val="18"/>
      <w:szCs w:val="18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</Pages>
  <Words>542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JParry</dc:creator>
  <cp:lastModifiedBy>Jiří Mališ</cp:lastModifiedBy>
  <cp:revision>10</cp:revision>
  <dcterms:created xsi:type="dcterms:W3CDTF">2018-12-16T11:58:00Z</dcterms:created>
  <dcterms:modified xsi:type="dcterms:W3CDTF">2019-02-03T09:47:00Z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2018-08-09T00:00:00Z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2018-10-16T00:00:00Z</vt:filetime>
  </property>
</Properties>
</file>